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D85" w:rsidRDefault="000307EF" w:rsidP="00CE3B4F">
      <w:pPr>
        <w:spacing w:before="1680" w:after="0"/>
        <w:jc w:val="center"/>
        <w:rPr>
          <w:rFonts w:ascii="Times New Roman" w:hAnsi="Times New Roman" w:cs="Times New Roman"/>
          <w:b/>
          <w:sz w:val="48"/>
          <w:szCs w:val="60"/>
        </w:rPr>
      </w:pPr>
      <w:r>
        <w:rPr>
          <w:rFonts w:ascii="Times New Roman" w:hAnsi="Times New Roman" w:cs="Times New Roman"/>
          <w:b/>
          <w:sz w:val="48"/>
          <w:szCs w:val="60"/>
        </w:rPr>
        <w:t>1/</w:t>
      </w:r>
      <w:r w:rsidR="00F84976">
        <w:rPr>
          <w:rFonts w:ascii="Times New Roman" w:hAnsi="Times New Roman" w:cs="Times New Roman"/>
          <w:b/>
          <w:sz w:val="48"/>
          <w:szCs w:val="60"/>
        </w:rPr>
        <w:t>2019. (</w:t>
      </w:r>
      <w:r>
        <w:rPr>
          <w:rFonts w:ascii="Times New Roman" w:hAnsi="Times New Roman" w:cs="Times New Roman"/>
          <w:b/>
          <w:sz w:val="48"/>
          <w:szCs w:val="60"/>
        </w:rPr>
        <w:t>IVV.10</w:t>
      </w:r>
      <w:r w:rsidR="00F84976">
        <w:rPr>
          <w:rFonts w:ascii="Times New Roman" w:hAnsi="Times New Roman" w:cs="Times New Roman"/>
          <w:b/>
          <w:sz w:val="48"/>
          <w:szCs w:val="60"/>
        </w:rPr>
        <w:t xml:space="preserve">.) számú </w:t>
      </w:r>
    </w:p>
    <w:p w:rsidR="00B44D85" w:rsidRDefault="00F84976">
      <w:pPr>
        <w:spacing w:before="120" w:after="0"/>
        <w:jc w:val="center"/>
        <w:rPr>
          <w:rFonts w:ascii="Times New Roman" w:hAnsi="Times New Roman" w:cs="Times New Roman"/>
          <w:b/>
          <w:sz w:val="48"/>
          <w:szCs w:val="60"/>
        </w:rPr>
      </w:pPr>
      <w:r>
        <w:rPr>
          <w:rFonts w:ascii="Times New Roman" w:hAnsi="Times New Roman" w:cs="Times New Roman"/>
          <w:b/>
          <w:sz w:val="48"/>
          <w:szCs w:val="60"/>
        </w:rPr>
        <w:t>jegyzői utasítás</w:t>
      </w:r>
    </w:p>
    <w:p w:rsidR="00B44D85" w:rsidRDefault="00925D0C">
      <w:pPr>
        <w:spacing w:before="2160" w:after="0"/>
        <w:jc w:val="center"/>
        <w:rPr>
          <w:rFonts w:ascii="Times New Roman" w:hAnsi="Times New Roman" w:cs="Times New Roman"/>
          <w:b/>
          <w:sz w:val="60"/>
          <w:szCs w:val="60"/>
        </w:rPr>
      </w:pPr>
      <w:r>
        <w:rPr>
          <w:rFonts w:ascii="Times New Roman" w:hAnsi="Times New Roman" w:cs="Times New Roman"/>
          <w:b/>
          <w:iCs/>
          <w:spacing w:val="-5"/>
          <w:sz w:val="60"/>
          <w:szCs w:val="60"/>
        </w:rPr>
        <w:t>A</w:t>
      </w:r>
      <w:r w:rsidR="00655C96">
        <w:rPr>
          <w:rFonts w:ascii="Times New Roman" w:hAnsi="Times New Roman" w:cs="Times New Roman"/>
          <w:b/>
          <w:iCs/>
          <w:spacing w:val="-5"/>
          <w:sz w:val="60"/>
          <w:szCs w:val="60"/>
        </w:rPr>
        <w:t>z</w:t>
      </w:r>
      <w:r>
        <w:rPr>
          <w:rFonts w:ascii="Times New Roman" w:hAnsi="Times New Roman" w:cs="Times New Roman"/>
          <w:b/>
          <w:iCs/>
          <w:spacing w:val="-5"/>
          <w:sz w:val="60"/>
          <w:szCs w:val="60"/>
        </w:rPr>
        <w:t xml:space="preserve"> </w:t>
      </w:r>
      <w:r w:rsidR="00655C96">
        <w:rPr>
          <w:rFonts w:ascii="Times New Roman" w:hAnsi="Times New Roman" w:cs="Times New Roman"/>
          <w:b/>
          <w:iCs/>
          <w:spacing w:val="-5"/>
          <w:sz w:val="60"/>
          <w:szCs w:val="60"/>
        </w:rPr>
        <w:t>Ibrányi</w:t>
      </w:r>
      <w:r w:rsidR="00F84976">
        <w:rPr>
          <w:rFonts w:ascii="Times New Roman" w:hAnsi="Times New Roman" w:cs="Times New Roman"/>
          <w:b/>
          <w:iCs/>
          <w:spacing w:val="-5"/>
          <w:sz w:val="60"/>
          <w:szCs w:val="60"/>
        </w:rPr>
        <w:t xml:space="preserve"> Polgármesteri Hivatal</w:t>
      </w:r>
      <w:r w:rsidR="00F84976">
        <w:rPr>
          <w:rFonts w:ascii="Times New Roman" w:hAnsi="Times New Roman" w:cs="Times New Roman"/>
          <w:b/>
          <w:sz w:val="60"/>
          <w:szCs w:val="60"/>
        </w:rPr>
        <w:t xml:space="preserve"> </w:t>
      </w:r>
    </w:p>
    <w:p w:rsidR="00B44D85" w:rsidRDefault="00F84976" w:rsidP="00CE3B4F">
      <w:pPr>
        <w:spacing w:before="2160" w:after="360"/>
        <w:jc w:val="center"/>
        <w:rPr>
          <w:rFonts w:ascii="Times New Roman" w:hAnsi="Times New Roman" w:cs="Times New Roman"/>
          <w:b/>
          <w:sz w:val="24"/>
          <w:szCs w:val="24"/>
        </w:rPr>
      </w:pPr>
      <w:r>
        <w:rPr>
          <w:rFonts w:ascii="Times New Roman" w:hAnsi="Times New Roman" w:cs="Times New Roman"/>
          <w:b/>
          <w:sz w:val="60"/>
          <w:szCs w:val="60"/>
        </w:rPr>
        <w:t>adatvédelmi és adatkezelési szabályzatáról</w:t>
      </w:r>
      <w:r>
        <w:br w:type="page"/>
      </w:r>
    </w:p>
    <w:p w:rsidR="00B44D85" w:rsidRDefault="00F8497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jogalkotásról szóló 2010. évi CXXX. törvény 23. § (4) bekezdés j) pontjában kapott felhatalmazás alapján, tekintettel az információs önrendelkezési jogról és az információszabadságról szóló 2011. évi CXII. törvény (a továbbiakban: </w:t>
      </w:r>
      <w:proofErr w:type="spellStart"/>
      <w:r>
        <w:rPr>
          <w:rFonts w:ascii="Times New Roman" w:hAnsi="Times New Roman" w:cs="Times New Roman"/>
          <w:sz w:val="24"/>
          <w:szCs w:val="24"/>
        </w:rPr>
        <w:t>Infotv</w:t>
      </w:r>
      <w:proofErr w:type="spellEnd"/>
      <w:r>
        <w:rPr>
          <w:rFonts w:ascii="Times New Roman" w:hAnsi="Times New Roman" w:cs="Times New Roman"/>
          <w:sz w:val="24"/>
          <w:szCs w:val="24"/>
        </w:rPr>
        <w:t>.) 25/A. § (3) be</w:t>
      </w:r>
      <w:r w:rsidR="00925D0C">
        <w:rPr>
          <w:rFonts w:ascii="Times New Roman" w:hAnsi="Times New Roman" w:cs="Times New Roman"/>
          <w:sz w:val="24"/>
          <w:szCs w:val="24"/>
        </w:rPr>
        <w:t>kezdésére a</w:t>
      </w:r>
      <w:r w:rsidR="00CD24F6">
        <w:rPr>
          <w:rFonts w:ascii="Times New Roman" w:hAnsi="Times New Roman" w:cs="Times New Roman"/>
          <w:sz w:val="24"/>
          <w:szCs w:val="24"/>
        </w:rPr>
        <w:t>z</w:t>
      </w:r>
      <w:r w:rsidR="00925D0C">
        <w:rPr>
          <w:rFonts w:ascii="Times New Roman" w:hAnsi="Times New Roman" w:cs="Times New Roman"/>
          <w:sz w:val="24"/>
          <w:szCs w:val="24"/>
        </w:rPr>
        <w:t xml:space="preserve"> </w:t>
      </w:r>
      <w:r w:rsidR="00655C96">
        <w:rPr>
          <w:rFonts w:ascii="Times New Roman" w:hAnsi="Times New Roman" w:cs="Times New Roman"/>
          <w:sz w:val="24"/>
          <w:szCs w:val="24"/>
        </w:rPr>
        <w:t>Ibrány</w:t>
      </w:r>
      <w:r w:rsidR="00925D0C">
        <w:rPr>
          <w:rFonts w:ascii="Times New Roman" w:hAnsi="Times New Roman" w:cs="Times New Roman"/>
          <w:sz w:val="24"/>
          <w:szCs w:val="24"/>
        </w:rPr>
        <w:t>i</w:t>
      </w:r>
      <w:r>
        <w:rPr>
          <w:rFonts w:ascii="Times New Roman" w:hAnsi="Times New Roman" w:cs="Times New Roman"/>
          <w:sz w:val="24"/>
          <w:szCs w:val="24"/>
        </w:rPr>
        <w:t xml:space="preserve"> Polgármesteri Hivatal Adatvédelmi és Adatkezelési Szabályzatát (a továbbiakban: Szabályzat) az alábbi tartalommal adom ki.</w:t>
      </w:r>
    </w:p>
    <w:p w:rsidR="00B44D85" w:rsidRDefault="00B44D85">
      <w:pPr>
        <w:spacing w:after="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0" w:name="_Toc513465073"/>
      <w:r>
        <w:rPr>
          <w:rFonts w:cs="Times New Roman"/>
          <w:b/>
        </w:rPr>
        <w:t>Általános rendelkezések</w:t>
      </w:r>
      <w:bookmarkEnd w:id="0"/>
    </w:p>
    <w:p w:rsidR="00B44D85" w:rsidRDefault="00B44D85">
      <w:pPr>
        <w:spacing w:after="0"/>
        <w:jc w:val="center"/>
        <w:rPr>
          <w:rFonts w:ascii="Times New Roman" w:hAnsi="Times New Roman" w:cs="Times New Roman"/>
          <w:b/>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 szabályzat hatálya</w:t>
      </w:r>
    </w:p>
    <w:p w:rsidR="00B44D85" w:rsidRDefault="00B44D85">
      <w:pPr>
        <w:spacing w:after="0"/>
        <w:jc w:val="center"/>
        <w:rPr>
          <w:rFonts w:ascii="Times New Roman" w:hAnsi="Times New Roman" w:cs="Times New Roman"/>
          <w:sz w:val="24"/>
          <w:szCs w:val="24"/>
        </w:rPr>
      </w:pPr>
    </w:p>
    <w:p w:rsidR="00B44D85" w:rsidRPr="00946328" w:rsidRDefault="00B44D85" w:rsidP="00946328">
      <w:pPr>
        <w:spacing w:after="0"/>
        <w:rPr>
          <w:rFonts w:ascii="Times New Roman" w:hAnsi="Times New Roman" w:cs="Times New Roman"/>
          <w:b/>
          <w:sz w:val="24"/>
          <w:szCs w:val="24"/>
        </w:rPr>
      </w:pPr>
    </w:p>
    <w:p w:rsidR="00B44D85" w:rsidRDefault="00B44D85">
      <w:pPr>
        <w:pStyle w:val="Listaszerbekezds"/>
        <w:spacing w:after="0"/>
        <w:rPr>
          <w:rFonts w:ascii="Times New Roman" w:hAnsi="Times New Roman" w:cs="Times New Roman"/>
          <w:b/>
          <w:sz w:val="24"/>
          <w:szCs w:val="24"/>
        </w:rPr>
      </w:pPr>
    </w:p>
    <w:p w:rsidR="00B44D85" w:rsidRDefault="00F84976">
      <w:pPr>
        <w:pStyle w:val="Listaszerbekezds"/>
        <w:numPr>
          <w:ilvl w:val="0"/>
          <w:numId w:val="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Szabál</w:t>
      </w:r>
      <w:r w:rsidR="00925D0C">
        <w:rPr>
          <w:rFonts w:ascii="Times New Roman" w:hAnsi="Times New Roman" w:cs="Times New Roman"/>
          <w:sz w:val="24"/>
          <w:szCs w:val="24"/>
        </w:rPr>
        <w:t>yzat hatálya kiterjed a</w:t>
      </w:r>
      <w:r w:rsidR="00655C96">
        <w:rPr>
          <w:rFonts w:ascii="Times New Roman" w:hAnsi="Times New Roman" w:cs="Times New Roman"/>
          <w:sz w:val="24"/>
          <w:szCs w:val="24"/>
        </w:rPr>
        <w:t>z</w:t>
      </w:r>
      <w:r w:rsidR="00925D0C">
        <w:rPr>
          <w:rFonts w:ascii="Times New Roman" w:hAnsi="Times New Roman" w:cs="Times New Roman"/>
          <w:sz w:val="24"/>
          <w:szCs w:val="24"/>
        </w:rPr>
        <w:t xml:space="preserve"> </w:t>
      </w:r>
      <w:r w:rsidR="00655C96">
        <w:rPr>
          <w:rFonts w:ascii="Times New Roman" w:hAnsi="Times New Roman" w:cs="Times New Roman"/>
          <w:sz w:val="24"/>
          <w:szCs w:val="24"/>
        </w:rPr>
        <w:t>Ibrány</w:t>
      </w:r>
      <w:r w:rsidR="00925D0C">
        <w:rPr>
          <w:rFonts w:ascii="Times New Roman" w:hAnsi="Times New Roman" w:cs="Times New Roman"/>
          <w:sz w:val="24"/>
          <w:szCs w:val="24"/>
        </w:rPr>
        <w:t>i</w:t>
      </w:r>
      <w:r>
        <w:rPr>
          <w:rFonts w:ascii="Times New Roman" w:hAnsi="Times New Roman" w:cs="Times New Roman"/>
          <w:sz w:val="24"/>
          <w:szCs w:val="24"/>
        </w:rPr>
        <w:t xml:space="preserve"> Polgármesteri Hivatal (a továbbiakban: Hivatal) minden, a szervezeti és működési szabályzatában, ügyrendjében meghatározott szervezeti egységére.</w:t>
      </w: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2"/>
        </w:numPr>
        <w:spacing w:after="0"/>
        <w:ind w:left="284" w:hanging="426"/>
        <w:jc w:val="both"/>
      </w:pPr>
      <w:r>
        <w:rPr>
          <w:rFonts w:ascii="Times New Roman" w:hAnsi="Times New Roman" w:cs="Times New Roman"/>
          <w:sz w:val="24"/>
          <w:szCs w:val="24"/>
        </w:rPr>
        <w:t>A Szabályzat személyi hatálya kiterjed a Hivatalban foglalkoztatott valamennyi köztisztviselőre, munkavállalóra,</w:t>
      </w:r>
      <w:r>
        <w:t xml:space="preserve"> </w:t>
      </w:r>
      <w:r>
        <w:rPr>
          <w:rFonts w:ascii="Times New Roman" w:hAnsi="Times New Roman" w:cs="Times New Roman"/>
          <w:sz w:val="24"/>
          <w:szCs w:val="24"/>
        </w:rPr>
        <w:t>valamint a munkavégzésre irányuló egyéb jogviszony keretében foglalkoztatottakra, továbbá azon személyekre, akik – munkatapasztalat-szerzési, kutatási vagy képzési célból – szakmai gyakorlatukat a Hivatal valamely szervezeti egységénél töltik (a továbbiakban együtt: foglalkoztatott).</w:t>
      </w: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Szabályzat hatálya kiterjed a Hivatal által kezelt személyes adatok teljes körére.</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Jelen Szabályzat rendelkezéseiben a Hivatal – a jogszabály alapján ellátott, illetve egyéb átruházott feladataitól függően – adatkezelőnek, illetve adatfeldolgozónak minősül.</w:t>
      </w: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Szabályzat alkalmazását elő kell írni a Hivatal részére vállalkozási vagy megbízási szerződés keretében szolgáltatást nyújtók felé, amennyiben tevékenységük során a Hivatalnál kezelt adatokhoz hozzáférnek.</w:t>
      </w: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Jelen szabályzat minősített adatok kezelésére nem vonatkozik.</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 szabályzat célja</w:t>
      </w:r>
    </w:p>
    <w:p w:rsidR="00B44D85" w:rsidRDefault="00B44D85">
      <w:pPr>
        <w:pStyle w:val="Listaszerbekezds"/>
        <w:spacing w:after="0"/>
        <w:rPr>
          <w:rFonts w:ascii="Times New Roman" w:hAnsi="Times New Roman" w:cs="Times New Roman"/>
          <w:b/>
          <w:bCs/>
          <w:sz w:val="24"/>
          <w:szCs w:val="24"/>
        </w:rPr>
      </w:pPr>
    </w:p>
    <w:p w:rsidR="00B44D85" w:rsidRDefault="00B44D85" w:rsidP="00946328">
      <w:pPr>
        <w:pStyle w:val="Listaszerbekezds"/>
        <w:spacing w:after="0"/>
        <w:rPr>
          <w:rFonts w:ascii="Times New Roman" w:hAnsi="Times New Roman" w:cs="Times New Roman"/>
          <w:b/>
          <w:sz w:val="24"/>
          <w:szCs w:val="24"/>
        </w:rPr>
      </w:pPr>
    </w:p>
    <w:p w:rsidR="00B44D85" w:rsidRDefault="00B44D85">
      <w:pPr>
        <w:spacing w:after="0"/>
        <w:ind w:left="360"/>
        <w:rPr>
          <w:rFonts w:ascii="Times New Roman" w:hAnsi="Times New Roman" w:cs="Times New Roman"/>
          <w:b/>
          <w:sz w:val="24"/>
          <w:szCs w:val="24"/>
        </w:rPr>
      </w:pPr>
    </w:p>
    <w:p w:rsidR="00B44D85" w:rsidRDefault="00F84976">
      <w:pPr>
        <w:pStyle w:val="Listaszerbekezds"/>
        <w:numPr>
          <w:ilvl w:val="0"/>
          <w:numId w:val="4"/>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Jelen Szabályzat az Európai Parlament és a Tanács (EU) 2016/679 számú, a természetes személyeknek a személyes adatok kezelése tekintetében történő védelméről és az ilyen adatok szabad áramlásáról, valamint a 95/46/EK rendelet hatályon kívül helyezéséről szóló rendeletének (a továbbiakban: GDPR rendelet), valamint a hazai adatvédelmi szabályozás, így különösen az </w:t>
      </w:r>
      <w:proofErr w:type="spellStart"/>
      <w:r>
        <w:rPr>
          <w:rFonts w:ascii="Times New Roman" w:hAnsi="Times New Roman" w:cs="Times New Roman"/>
          <w:sz w:val="24"/>
          <w:szCs w:val="24"/>
        </w:rPr>
        <w:t>Infotv</w:t>
      </w:r>
      <w:proofErr w:type="spellEnd"/>
      <w:r>
        <w:rPr>
          <w:rFonts w:ascii="Times New Roman" w:hAnsi="Times New Roman" w:cs="Times New Roman"/>
          <w:sz w:val="24"/>
          <w:szCs w:val="24"/>
        </w:rPr>
        <w:t xml:space="preserve">. rendelkezéseinek való megfelelést szolgálja. </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4"/>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Szabályzat célja továbbá, hogy az Alaptörvény VI. cikk (3) bekezdése értelmében a Hivatal tevékenysége során biztosítsa a kezelt személyes adatok védelmét, meghatározza a személyes adatok kezelése során irányadó adatvédelmi és adatbiztonsági előírásokat. </w:t>
      </w:r>
    </w:p>
    <w:p w:rsidR="00B44D85" w:rsidRDefault="00B44D85">
      <w:pPr>
        <w:spacing w:after="0"/>
        <w:ind w:left="851" w:hanging="284"/>
        <w:jc w:val="both"/>
        <w:rPr>
          <w:rFonts w:ascii="Times New Roman" w:hAnsi="Times New Roman" w:cs="Times New Roman"/>
          <w:sz w:val="24"/>
          <w:szCs w:val="24"/>
        </w:rPr>
      </w:pPr>
    </w:p>
    <w:p w:rsidR="00B44D85" w:rsidRDefault="00F84976">
      <w:pPr>
        <w:pStyle w:val="Listaszerbekezds"/>
        <w:numPr>
          <w:ilvl w:val="0"/>
          <w:numId w:val="4"/>
        </w:numPr>
        <w:spacing w:after="0"/>
        <w:ind w:left="283" w:hanging="425"/>
        <w:jc w:val="both"/>
        <w:rPr>
          <w:rFonts w:ascii="Times New Roman" w:hAnsi="Times New Roman" w:cs="Times New Roman"/>
          <w:sz w:val="24"/>
          <w:szCs w:val="24"/>
        </w:rPr>
      </w:pPr>
      <w:r>
        <w:rPr>
          <w:rFonts w:ascii="Times New Roman" w:hAnsi="Times New Roman" w:cs="Times New Roman"/>
          <w:sz w:val="24"/>
          <w:szCs w:val="24"/>
        </w:rPr>
        <w:t>A Szabályzat további célja a személyes adatnak nem minősülő, de egyéb okból nem nyilvános adatok védelmének biztosítása.</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 személyes adatkezelés alapelvei</w:t>
      </w:r>
    </w:p>
    <w:p w:rsidR="00B44D85" w:rsidRDefault="00B44D85">
      <w:pPr>
        <w:pStyle w:val="Listaszerbekezds"/>
        <w:spacing w:after="0"/>
        <w:rPr>
          <w:rFonts w:ascii="Times New Roman" w:hAnsi="Times New Roman" w:cs="Times New Roman"/>
          <w:b/>
          <w:bCs/>
          <w:sz w:val="24"/>
          <w:szCs w:val="24"/>
        </w:rPr>
      </w:pPr>
    </w:p>
    <w:p w:rsidR="00B44D85" w:rsidRDefault="00B44D85" w:rsidP="00946328">
      <w:pPr>
        <w:pStyle w:val="Listaszerbekezds"/>
        <w:spacing w:after="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Hivatal a személyes adatok kezelését </w:t>
      </w:r>
    </w:p>
    <w:p w:rsidR="00B44D85" w:rsidRDefault="00F84976">
      <w:p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a) a szakmai feladatellátáshoz kötődő, jogszabályban meghatározott feladat- és hatásköreinek, illetve</w:t>
      </w:r>
    </w:p>
    <w:p w:rsidR="00B44D85" w:rsidRDefault="00F84976">
      <w:p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b) a szervi működést szolgáló – nem szakmai feladatellátáshoz kötődő – belső igazgatási feladatainak (a továbbiakban: funkcionális működéssel kapcsolatos feladatok)</w:t>
      </w:r>
    </w:p>
    <w:p w:rsidR="00B44D85" w:rsidRDefault="00F84976">
      <w:pPr>
        <w:spacing w:after="0"/>
        <w:ind w:left="426" w:hanging="142"/>
        <w:jc w:val="both"/>
        <w:rPr>
          <w:rFonts w:ascii="Times New Roman" w:hAnsi="Times New Roman" w:cs="Times New Roman"/>
          <w:sz w:val="24"/>
          <w:szCs w:val="24"/>
        </w:rPr>
      </w:pPr>
      <w:r>
        <w:rPr>
          <w:rFonts w:ascii="Times New Roman" w:hAnsi="Times New Roman" w:cs="Times New Roman"/>
          <w:sz w:val="24"/>
          <w:szCs w:val="24"/>
        </w:rPr>
        <w:t>ellátása során végzi.</w:t>
      </w:r>
    </w:p>
    <w:p w:rsidR="00B44D85" w:rsidRDefault="00B44D85">
      <w:pPr>
        <w:spacing w:after="0"/>
        <w:ind w:left="426" w:hanging="142"/>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szakmai feladatellátáshoz kötődő feladat- és hatásköreinek ellátása során közérdekű vagy ráruházott közhatalmi jogosítvány gyakorlásával összefüggésben, a feladat végrehajtásához szükséges személyes adatkezelést végez.</w:t>
      </w:r>
    </w:p>
    <w:p w:rsidR="00B44D85" w:rsidRDefault="00B44D85">
      <w:pPr>
        <w:spacing w:after="0"/>
        <w:ind w:left="426" w:hanging="142"/>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ügyintézés során csak azokat a személyes, vagy különleges adatokat szabad felvenni, amelyek az ügy szempontjából elengedhetetlenül szükségesek. A felvett adatokat csak az adott ügy intézése, vagy jogszabályban meghatározott cél érdekében szabad felhasználni, más eljárásokkal, illetve adatokkal nem kapcsolhatók össze.</w:t>
      </w:r>
    </w:p>
    <w:p w:rsidR="00B44D85" w:rsidRDefault="00B44D85">
      <w:pPr>
        <w:pStyle w:val="Listaszerbekezds"/>
        <w:spacing w:after="0"/>
        <w:ind w:left="284"/>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Az ügyirat részét nem képező, de az eljárás során rögzítésre került személyes és különleges adatokat további felhasználásuk megakadályozása érdekében azonosításra alkalmatlanná kell tenni. </w:t>
      </w:r>
    </w:p>
    <w:p w:rsidR="00B44D85" w:rsidRDefault="00B44D85">
      <w:pPr>
        <w:pStyle w:val="Listaszerbekezds"/>
        <w:spacing w:after="0"/>
        <w:ind w:left="284"/>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hibás vagy egyéb okból feleslegessé vált adatokat tartalmazó példányokat azonosításra és további felhasználásra alkalmatlanná kell tenni.</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pPr>
      <w:r>
        <w:rPr>
          <w:rFonts w:ascii="Times New Roman" w:hAnsi="Times New Roman" w:cs="Times New Roman"/>
          <w:sz w:val="24"/>
          <w:szCs w:val="24"/>
        </w:rPr>
        <w:t xml:space="preserve">Az ügyiratokat a Hivatal Iratkezelési Szabályzatában előírtak szerint kell kezelni. Az ügyiratok kezelése, tárolása során azok tartalmába jelen szabályzat I. fejezetének 1.2. pontjában meghatározott foglalkoztatottakon kívül más személy – az érintett törvény szerinti betekintési jogán túl – csak akkor tekinthet be, ha ezt a mindenkor hatályos információs önrendelkezési jogról és az információszabadságról szóló törvény szerint hivatali tevékenységével összefüggő feladatellátás szükségessé teszi. </w:t>
      </w:r>
    </w:p>
    <w:p w:rsidR="00B44D85" w:rsidRDefault="00B44D85">
      <w:pPr>
        <w:pStyle w:val="Listaszerbekezds"/>
        <w:spacing w:after="0"/>
        <w:ind w:left="284"/>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érintett vagy képviselője betekintési jogának gyakorlása során úgy kell eljárni, hogy ezáltal mások jogai ne sérülhessenek, ennek megfelelően a más személyre vonatkozó személyes adatokat ki kell takarni</w:t>
      </w:r>
      <w:r w:rsidR="00655C96">
        <w:rPr>
          <w:rFonts w:ascii="Times New Roman" w:hAnsi="Times New Roman" w:cs="Times New Roman"/>
          <w:sz w:val="24"/>
          <w:szCs w:val="24"/>
        </w:rPr>
        <w:t>,</w:t>
      </w:r>
      <w:r>
        <w:rPr>
          <w:rFonts w:ascii="Times New Roman" w:hAnsi="Times New Roman" w:cs="Times New Roman"/>
          <w:sz w:val="24"/>
          <w:szCs w:val="24"/>
        </w:rPr>
        <w:t xml:space="preserve"> vagy egyéb módon felismerhetetlenné kell tenni. Ugyanígy szükséges eljárni a másolat, kivonat készítésekor is.</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különleges kategóriába tartozó személyes adat csak a GDPR rendelet 9. cikk (2) bekezdésében megadott valamely feltétel teljesülése esetén kezelhető. </w:t>
      </w:r>
    </w:p>
    <w:p w:rsidR="00946328" w:rsidRPr="00946328" w:rsidRDefault="00946328" w:rsidP="00946328">
      <w:pPr>
        <w:pStyle w:val="Listaszerbekezds"/>
        <w:rPr>
          <w:rFonts w:ascii="Times New Roman" w:hAnsi="Times New Roman" w:cs="Times New Roman"/>
          <w:sz w:val="24"/>
          <w:szCs w:val="24"/>
        </w:rPr>
      </w:pPr>
    </w:p>
    <w:p w:rsidR="00B44D85" w:rsidRPr="00946328" w:rsidRDefault="00F84976" w:rsidP="00946328">
      <w:pPr>
        <w:pStyle w:val="Listaszerbekezds"/>
        <w:numPr>
          <w:ilvl w:val="0"/>
          <w:numId w:val="5"/>
        </w:numPr>
        <w:spacing w:after="0"/>
        <w:ind w:left="284" w:hanging="426"/>
        <w:jc w:val="both"/>
        <w:rPr>
          <w:rFonts w:ascii="Times New Roman" w:hAnsi="Times New Roman" w:cs="Times New Roman"/>
          <w:sz w:val="24"/>
          <w:szCs w:val="24"/>
        </w:rPr>
      </w:pPr>
      <w:r w:rsidRPr="00946328">
        <w:rPr>
          <w:rFonts w:ascii="Times New Roman" w:hAnsi="Times New Roman" w:cs="Times New Roman"/>
          <w:sz w:val="24"/>
          <w:szCs w:val="24"/>
        </w:rPr>
        <w:t>Az egyes nyilvántartások, adatkezelések tekintetében a hozzáférési jogosultságot a jegyzőnek személyre lebontottan meg kell határoznia és az időszerű állapotnak megfelelően nyilván kell tartania.</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ind w:left="0" w:firstLine="0"/>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1" w:name="_Toc513465074"/>
      <w:r>
        <w:rPr>
          <w:rFonts w:cs="Times New Roman"/>
          <w:b/>
        </w:rPr>
        <w:t>Adatbiztonsági szabályok</w:t>
      </w:r>
      <w:bookmarkEnd w:id="1"/>
    </w:p>
    <w:p w:rsidR="00B44D85" w:rsidRDefault="00B44D85">
      <w:pPr>
        <w:pStyle w:val="Listaszerbekezds"/>
        <w:spacing w:after="0"/>
        <w:ind w:left="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pStyle w:val="Listaszerbekezds"/>
        <w:spacing w:after="0"/>
        <w:ind w:left="0"/>
        <w:rPr>
          <w:rFonts w:ascii="Times New Roman" w:hAnsi="Times New Roman" w:cs="Times New Roman"/>
          <w:b/>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jogszabályban meghatározott feladat- és hatáskörök ellátásához kapcsolódó, tartalmuk alapján nem rendszerezett elektronikus vagy papír alapú iratokkal végzett tevékenységek a GDPR rendelet (15) preambulum-bekezdése értelmező bekezdése alapján nem tartoznak a rendelet hatálya alá. </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Nem rendszerezett iratnak tekintendő </w:t>
      </w:r>
    </w:p>
    <w:p w:rsidR="00B44D85" w:rsidRDefault="00F84976">
      <w:pPr>
        <w:pStyle w:val="Listaszerbekezds"/>
        <w:numPr>
          <w:ilvl w:val="1"/>
          <w:numId w:val="16"/>
        </w:numPr>
        <w:spacing w:after="0"/>
        <w:jc w:val="both"/>
        <w:rPr>
          <w:rFonts w:ascii="Times New Roman" w:hAnsi="Times New Roman" w:cs="Times New Roman"/>
          <w:sz w:val="24"/>
          <w:szCs w:val="24"/>
        </w:rPr>
      </w:pPr>
      <w:r>
        <w:rPr>
          <w:rFonts w:ascii="Times New Roman" w:hAnsi="Times New Roman" w:cs="Times New Roman"/>
          <w:sz w:val="24"/>
          <w:szCs w:val="24"/>
        </w:rPr>
        <w:t>a papír alapú irat, amennyiben az nem valamely adatok nyilvántartására vonatkozó rendszer része, vagy amely kezelése nem nyilvántartási céllal történik,</w:t>
      </w:r>
    </w:p>
    <w:p w:rsidR="00B44D85" w:rsidRDefault="00F84976">
      <w:pPr>
        <w:pStyle w:val="Listaszerbekezds"/>
        <w:numPr>
          <w:ilvl w:val="1"/>
          <w:numId w:val="16"/>
        </w:numPr>
        <w:spacing w:after="0"/>
        <w:jc w:val="both"/>
        <w:rPr>
          <w:rFonts w:ascii="Times New Roman" w:hAnsi="Times New Roman" w:cs="Times New Roman"/>
          <w:sz w:val="24"/>
          <w:szCs w:val="24"/>
        </w:rPr>
      </w:pPr>
      <w:r>
        <w:rPr>
          <w:rFonts w:ascii="Times New Roman" w:hAnsi="Times New Roman" w:cs="Times New Roman"/>
          <w:sz w:val="24"/>
          <w:szCs w:val="24"/>
        </w:rPr>
        <w:t>az elektronikus irat, ha kezelő programja nem teszi lehetővé a tartalmára kiterjedő különböző szempontú keresést,</w:t>
      </w:r>
    </w:p>
    <w:p w:rsidR="00B44D85" w:rsidRDefault="00F84976">
      <w:pPr>
        <w:pStyle w:val="Listaszerbekezds"/>
        <w:numPr>
          <w:ilvl w:val="1"/>
          <w:numId w:val="16"/>
        </w:numPr>
        <w:spacing w:after="0"/>
        <w:jc w:val="both"/>
        <w:rPr>
          <w:rFonts w:ascii="Times New Roman" w:hAnsi="Times New Roman" w:cs="Times New Roman"/>
          <w:sz w:val="24"/>
          <w:szCs w:val="24"/>
        </w:rPr>
      </w:pPr>
      <w:r>
        <w:rPr>
          <w:rFonts w:ascii="Times New Roman" w:hAnsi="Times New Roman" w:cs="Times New Roman"/>
          <w:sz w:val="24"/>
          <w:szCs w:val="24"/>
        </w:rPr>
        <w:t>az eljárások során készített, nem iktatott papír vagy elektronikus munkaanyag, munkaközi dokumentum, formájától függetlenül (tárolt dokumentum, e-mail).</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iratok kezelését a Hivatal a közfeladatot ellátó szervek iratkezelésének általános követelményeiről szóló 335/2005. (XII.29.) Korm. rendeletnek (a továbbiakban: 335/2005. (XII.29.) Korm. rendelet) megfelelően, az iratkezelési szabályzata alapján végzi. E tevékenysége során biztosítja, hogy</w:t>
      </w:r>
    </w:p>
    <w:p w:rsidR="00B44D85" w:rsidRDefault="00F84976">
      <w:pPr>
        <w:pStyle w:val="Listaszerbekezds"/>
        <w:spacing w:after="0"/>
        <w:ind w:left="1134" w:hanging="283"/>
        <w:jc w:val="both"/>
      </w:pPr>
      <w:r>
        <w:rPr>
          <w:rFonts w:ascii="Times New Roman" w:hAnsi="Times New Roman" w:cs="Times New Roman"/>
          <w:sz w:val="24"/>
          <w:szCs w:val="24"/>
        </w:rPr>
        <w:t>a) az ügyiratok kezelése, tárolása során azok tartalmába illetéktelen személy betekintést nem nyerhet, az egyes ügyiratokban tárolt személyes adatok védelméért a foglalkoz</w:t>
      </w:r>
      <w:r w:rsidR="00335331">
        <w:rPr>
          <w:rFonts w:ascii="Times New Roman" w:hAnsi="Times New Roman" w:cs="Times New Roman"/>
          <w:sz w:val="24"/>
          <w:szCs w:val="24"/>
        </w:rPr>
        <w:t xml:space="preserve">tatottak, illetve </w:t>
      </w:r>
      <w:r w:rsidR="00655C96">
        <w:rPr>
          <w:rFonts w:ascii="Times New Roman" w:hAnsi="Times New Roman" w:cs="Times New Roman"/>
          <w:sz w:val="24"/>
          <w:szCs w:val="24"/>
        </w:rPr>
        <w:t>Ibrány</w:t>
      </w:r>
      <w:r w:rsidR="00335331">
        <w:rPr>
          <w:rFonts w:ascii="Times New Roman" w:hAnsi="Times New Roman" w:cs="Times New Roman"/>
          <w:sz w:val="24"/>
          <w:szCs w:val="24"/>
        </w:rPr>
        <w:t xml:space="preserve"> </w:t>
      </w:r>
      <w:r w:rsidR="00925D0C">
        <w:rPr>
          <w:rFonts w:ascii="Times New Roman" w:hAnsi="Times New Roman" w:cs="Times New Roman"/>
          <w:sz w:val="24"/>
          <w:szCs w:val="24"/>
        </w:rPr>
        <w:t>Város</w:t>
      </w:r>
      <w:r w:rsidR="00335331">
        <w:rPr>
          <w:rFonts w:ascii="Times New Roman" w:hAnsi="Times New Roman" w:cs="Times New Roman"/>
          <w:sz w:val="24"/>
          <w:szCs w:val="24"/>
        </w:rPr>
        <w:t xml:space="preserve"> </w:t>
      </w:r>
      <w:r>
        <w:rPr>
          <w:rFonts w:ascii="Times New Roman" w:hAnsi="Times New Roman" w:cs="Times New Roman"/>
          <w:sz w:val="24"/>
          <w:szCs w:val="24"/>
        </w:rPr>
        <w:t>Önkormányzatával közfoglalkoztatotti jogviszonyban állók felelősséggel tartoznak.</w:t>
      </w:r>
    </w:p>
    <w:p w:rsidR="00B44D85" w:rsidRDefault="00F84976">
      <w:pPr>
        <w:pStyle w:val="Listaszerbekezds"/>
        <w:spacing w:after="0"/>
        <w:ind w:left="1134" w:hanging="283"/>
        <w:jc w:val="both"/>
        <w:rPr>
          <w:rFonts w:ascii="Times New Roman" w:hAnsi="Times New Roman" w:cs="Times New Roman"/>
          <w:sz w:val="24"/>
          <w:szCs w:val="24"/>
        </w:rPr>
      </w:pPr>
      <w:r>
        <w:rPr>
          <w:rFonts w:ascii="Times New Roman" w:hAnsi="Times New Roman" w:cs="Times New Roman"/>
          <w:sz w:val="24"/>
          <w:szCs w:val="24"/>
        </w:rPr>
        <w:t>b) az iratok tárolása az iratkezelési szabályokban előírtaknak megfelelő ideig történik, a tárolási időt követően az irat jellegétől függően selejtezésre vagy a levéltárnak átadásra kerül.</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munkaközi dokumentumokban, kiadmánytervezetekben rögzített személyes és különleges adatok védelmét az eljárás során és a kiadmányozást követően is biztosítani kell. A nem iktatott papíralapú munkaközi dokumentumokat kiadmányozást követően meg kell semmisíteni, az elektronikus úton előállított munkaközi dokumentumokból a kiadmánytervezeteket és az eljárásra vonatkozó feljegyzéseket, elektronikus leveleket – megőrzés esetén - a megfelelő védettség biztosíthatósága mellett kizárólag a Hivatal kizárólagos felügyelete alatt álló, illetéktelen hozzáféréstől védett informatikai eszközön lehet tárolni (beleértve az elektronikus iratkezelő rendszert).</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Személyes adatokat is tartalmazó elektronikus vagy papír iratot a Hivatalból kivinni kizárólag a munkaköri feladat ellátásával összefüggésben, a szervezeti egység vezetőjének engedélyével lehet. A foglalkoztatott ez esetben is köteles gondoskodni arról, hogy a személyes adatot illetéktelen személy ne ismerhesse meg.</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személyes adatokat is tartalmazó irat és egyéb adathordozó munkaidőn túl csak megfelelő védelmét biztosító helyen tárolható. A megfelelő tárolás biztosításáért közvetlenül az a felelős, akinél az iratok a munkaidő befejezésekor találhatóak.</w:t>
      </w:r>
    </w:p>
    <w:p w:rsidR="00B44D85" w:rsidRDefault="00B44D85">
      <w:pPr>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foglalkoztatott a közös használatú nyomtatón vagy másológépen kinyomtatott, illetve lemásolt dokumentumokat haladéktalanul köteles magához venni. </w:t>
      </w:r>
    </w:p>
    <w:p w:rsidR="00B44D85" w:rsidRDefault="00B44D85">
      <w:pPr>
        <w:pStyle w:val="Listaszerbekezds"/>
        <w:spacing w:after="0"/>
        <w:ind w:left="284"/>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Azokat a helyiségeket, ahol közös használatú nyomtató vagy másológép üzemel adatbiztonsági követelmények figyelembevételével és betartására tekintettel kell használni.</w:t>
      </w:r>
    </w:p>
    <w:p w:rsidR="00B44D85" w:rsidRDefault="00B44D85">
      <w:pPr>
        <w:pStyle w:val="Listaszerbekezds"/>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foglalkoztatott köteles a számítógépet és az ahhoz alkalmazott adathordozókat úgy kezelni, tárolni, hogy a védelmet igénylő adatokat illetéktelen személy ne ismerhesse meg. Köteles továbbá a munkaidő végeztével a számítógépet kikapcsolni, a helyiséget – ahol ez lehetséges – áramtalanítani, az ajtót bezárni és a kulcsot a portaszolgálathoz vagy a szokásos gyűjtő helyre leadni.</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személyes adatokat tartalmazó irat a foglalkoztatott általi távoli (beleértve otthoni) elektronikus elérése csak abban az esetben biztosítható, ha az illetéktelenek hozzáférésének kockázata az alkalmazott technikai megoldások miatt alacsony.</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Iratnyilvántartás</w:t>
      </w:r>
    </w:p>
    <w:p w:rsidR="00B44D85" w:rsidRDefault="00B44D85">
      <w:pPr>
        <w:pStyle w:val="Listaszerbekezds"/>
        <w:spacing w:after="0"/>
        <w:ind w:left="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kezelt iratokról a 335/2005. (XII.29.) Korm. rendelet alapján elektronikus nyilvántartást vezet (a továbbiakban: iratnyilvántartás).</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jogszabály alapján kötelezően vezetett iratnyilvántartás esetében az érintett tiltakozási joga, adatkezelés korlátozásához való joga nem áll fenn.</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7"/>
        </w:numPr>
        <w:spacing w:after="0"/>
        <w:ind w:left="284" w:hanging="426"/>
        <w:jc w:val="both"/>
      </w:pPr>
      <w:r>
        <w:rPr>
          <w:rFonts w:ascii="Times New Roman" w:hAnsi="Times New Roman" w:cs="Times New Roman"/>
          <w:sz w:val="24"/>
          <w:szCs w:val="24"/>
        </w:rPr>
        <w:t xml:space="preserve">Az iratnyilvántartás esetében az érintett igényelheti az iratnyilvántartásban tárolt személyes adatai megismerését. Erre vonatkozó kérelmét a </w:t>
      </w:r>
      <w:r w:rsidR="002F22CA">
        <w:rPr>
          <w:rFonts w:ascii="Times New Roman" w:hAnsi="Times New Roman" w:cs="Times New Roman"/>
          <w:sz w:val="24"/>
          <w:szCs w:val="24"/>
        </w:rPr>
        <w:t>jegyzőnél</w:t>
      </w:r>
      <w:r>
        <w:rPr>
          <w:rFonts w:ascii="Times New Roman" w:hAnsi="Times New Roman" w:cs="Times New Roman"/>
          <w:sz w:val="24"/>
          <w:szCs w:val="24"/>
        </w:rPr>
        <w:t xml:space="preserve"> terjesztheti elő, amely az általános ügyintézési határidőn belül azt megválaszolja.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7"/>
        </w:numPr>
        <w:spacing w:after="0"/>
        <w:ind w:left="284" w:hanging="426"/>
        <w:jc w:val="both"/>
      </w:pPr>
      <w:r>
        <w:rPr>
          <w:rFonts w:ascii="Times New Roman" w:hAnsi="Times New Roman" w:cs="Times New Roman"/>
          <w:sz w:val="24"/>
          <w:szCs w:val="24"/>
        </w:rPr>
        <w:t xml:space="preserve">Az iratnyilvántartás esetében az érintett kérelmezheti személyes adatai helyesbítését. Az erre vonatkozó kérelmét a </w:t>
      </w:r>
      <w:r w:rsidR="002F22CA">
        <w:rPr>
          <w:rFonts w:ascii="Times New Roman" w:hAnsi="Times New Roman" w:cs="Times New Roman"/>
          <w:sz w:val="24"/>
          <w:szCs w:val="24"/>
        </w:rPr>
        <w:t>jegyzőnél</w:t>
      </w:r>
      <w:r>
        <w:rPr>
          <w:rFonts w:ascii="Times New Roman" w:hAnsi="Times New Roman" w:cs="Times New Roman"/>
          <w:sz w:val="24"/>
          <w:szCs w:val="24"/>
        </w:rPr>
        <w:t xml:space="preserve"> terjesztheti elő, amely az általános ügyintézési határidőn belül azt megválaszolja. Nem minősül pontatlanul nyilvántartott adatnak a nyilvántartásba vételt követően változott személyes adat, ilyen okból az iratnyilvántartás nem módosítható. </w:t>
      </w:r>
    </w:p>
    <w:p w:rsidR="00B44D85" w:rsidRDefault="00B44D85">
      <w:pPr>
        <w:spacing w:after="0"/>
        <w:ind w:left="284" w:hanging="426"/>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2" w:name="_Toc513465075"/>
      <w:r>
        <w:rPr>
          <w:rFonts w:cs="Times New Roman"/>
          <w:b/>
        </w:rPr>
        <w:t>A jogszabályban meghatározott feladat- és hatáskörök ellátásához kapcsolódó, más szerv által nyilvántartott adatok kezelése</w:t>
      </w:r>
      <w:bookmarkEnd w:id="2"/>
      <w:r>
        <w:rPr>
          <w:rFonts w:cs="Times New Roman"/>
          <w:b/>
        </w:rPr>
        <w:t xml:space="preserve"> </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Az adatkezelés jogalapja</w:t>
      </w:r>
    </w:p>
    <w:p w:rsidR="00B44D85" w:rsidRDefault="00B44D85">
      <w:pPr>
        <w:pStyle w:val="Listaszerbekezds"/>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A Hivatal a jogszabályban meghatározott feladat- és hatásköreinek ellátásához szükséges e fejezet hatálya alá tartozó személyes adatkezelést közvetlen (az adatkezelés az adatkezelőre vonatkozó jogi kötelezettség teljesítéséhez szükséges), illetve közvetett (az adatkezelés adatkezelőre ruházott közhatalmi jogosítvány gyakorlásának keretében végzett feladat végrehajtásához szükséges) jogalap alapján végzi. Mind közvetlen, mind közvetett esetben az adatkezelésre jogszabály alapján kerül sor. </w:t>
      </w:r>
    </w:p>
    <w:p w:rsidR="00B44D85" w:rsidRDefault="00B44D85">
      <w:pPr>
        <w:spacing w:after="0"/>
        <w:jc w:val="both"/>
        <w:rPr>
          <w:rFonts w:ascii="Times New Roman" w:hAnsi="Times New Roman" w:cs="Times New Roman"/>
          <w:sz w:val="24"/>
          <w:szCs w:val="24"/>
        </w:rPr>
      </w:pPr>
    </w:p>
    <w:p w:rsidR="00CE3B4F" w:rsidRDefault="00CE3B4F">
      <w:pPr>
        <w:spacing w:after="0"/>
        <w:jc w:val="both"/>
        <w:rPr>
          <w:rFonts w:ascii="Times New Roman" w:hAnsi="Times New Roman" w:cs="Times New Roman"/>
          <w:sz w:val="24"/>
          <w:szCs w:val="24"/>
        </w:rPr>
      </w:pPr>
    </w:p>
    <w:p w:rsidR="00CE3B4F" w:rsidRDefault="00CE3B4F">
      <w:pPr>
        <w:spacing w:after="0"/>
        <w:jc w:val="both"/>
        <w:rPr>
          <w:rFonts w:ascii="Times New Roman" w:hAnsi="Times New Roman" w:cs="Times New Roman"/>
          <w:sz w:val="24"/>
          <w:szCs w:val="24"/>
        </w:rPr>
      </w:pPr>
    </w:p>
    <w:p w:rsidR="00CE3B4F" w:rsidRDefault="00CE3B4F">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Felelősség megosztás</w:t>
      </w:r>
    </w:p>
    <w:p w:rsidR="00B44D85" w:rsidRDefault="00B44D85">
      <w:pPr>
        <w:spacing w:after="0"/>
        <w:jc w:val="both"/>
        <w:rPr>
          <w:rFonts w:ascii="Times New Roman" w:hAnsi="Times New Roman" w:cs="Times New Roman"/>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2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és a nyilvántartást vezető szerv közötti adatkezeléssel összefüggő felelősség megosztása, amennyiben jogszabály másképp nem rendelkezik a következő:</w:t>
      </w:r>
    </w:p>
    <w:p w:rsidR="00B44D85" w:rsidRDefault="00F84976">
      <w:pPr>
        <w:pStyle w:val="Listaszerbekezds"/>
        <w:numPr>
          <w:ilvl w:val="0"/>
          <w:numId w:val="24"/>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A GDPR rendelet 24. és 25. cikkében megszabottaknak teljesítéséről a nyilvántartást vezető szerv gondoskodik.</w:t>
      </w:r>
    </w:p>
    <w:p w:rsidR="00B44D85" w:rsidRDefault="00F84976">
      <w:pPr>
        <w:pStyle w:val="Listaszerbekezds"/>
        <w:numPr>
          <w:ilvl w:val="0"/>
          <w:numId w:val="24"/>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A Hivatal az e fejezet hatálya alá tartozó adatkezeléseknél figyelembe veszi a nyilvántartást vezető szerv által kiadott adatkezelési szabályzat rá vonatkozó részeit. E pont tekintetében adatkezelési szabályzatnak minősül a nyilvántartás kezeléséhez biztosított kezelési dokumentáció (felhasználói kézikönyv stb.).</w:t>
      </w:r>
    </w:p>
    <w:p w:rsidR="00B44D85" w:rsidRDefault="00F84976">
      <w:pPr>
        <w:pStyle w:val="Listaszerbekezds"/>
        <w:numPr>
          <w:ilvl w:val="0"/>
          <w:numId w:val="24"/>
        </w:numPr>
        <w:spacing w:after="0"/>
        <w:ind w:left="1276" w:hanging="425"/>
        <w:jc w:val="both"/>
      </w:pPr>
      <w:r>
        <w:rPr>
          <w:rFonts w:ascii="Times New Roman" w:hAnsi="Times New Roman" w:cs="Times New Roman"/>
          <w:sz w:val="24"/>
          <w:szCs w:val="24"/>
        </w:rPr>
        <w:t>Az érintett fél megismerési, helyesbítési jogát a Hivatalnál is gyakorolhatja. Az erre vonatkozó kérelmét a</w:t>
      </w:r>
      <w:r w:rsidR="00880E54">
        <w:rPr>
          <w:rFonts w:ascii="Times New Roman" w:hAnsi="Times New Roman" w:cs="Times New Roman"/>
          <w:sz w:val="24"/>
          <w:szCs w:val="24"/>
        </w:rPr>
        <w:t xml:space="preserve"> jegyzőnél</w:t>
      </w:r>
      <w:r>
        <w:rPr>
          <w:rFonts w:ascii="Times New Roman" w:hAnsi="Times New Roman" w:cs="Times New Roman"/>
          <w:sz w:val="24"/>
          <w:szCs w:val="24"/>
        </w:rPr>
        <w:t xml:space="preserve"> terjesztheti elő, a</w:t>
      </w:r>
      <w:r w:rsidR="00175A10">
        <w:rPr>
          <w:rFonts w:ascii="Times New Roman" w:hAnsi="Times New Roman" w:cs="Times New Roman"/>
          <w:sz w:val="24"/>
          <w:szCs w:val="24"/>
        </w:rPr>
        <w:t xml:space="preserve">ki </w:t>
      </w:r>
      <w:r>
        <w:rPr>
          <w:rFonts w:ascii="Times New Roman" w:hAnsi="Times New Roman" w:cs="Times New Roman"/>
          <w:sz w:val="24"/>
          <w:szCs w:val="24"/>
        </w:rPr>
        <w:t>a nyilvántartásra vonatkozó jogszabályi előírásoknak megfelelően az ügytípusra előírt ügyintézési határidőn belül azt megválaszolja.</w:t>
      </w:r>
    </w:p>
    <w:p w:rsidR="00B44D85" w:rsidRDefault="00F84976">
      <w:pPr>
        <w:pStyle w:val="Listaszerbekezds"/>
        <w:numPr>
          <w:ilvl w:val="0"/>
          <w:numId w:val="24"/>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Tiltakozási joggal a közvetlen vagy közvetve jogszabályi előírás alapján vezetett általános közérdeket szolgáló nyilvántartásokhoz kapcsolódó adatkezelés esetében az érintett nem élhet.</w:t>
      </w:r>
    </w:p>
    <w:p w:rsidR="00B44D85" w:rsidRDefault="00F84976">
      <w:pPr>
        <w:pStyle w:val="Listaszerbekezds"/>
        <w:numPr>
          <w:ilvl w:val="0"/>
          <w:numId w:val="24"/>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Az általános tájékoztatási kötelezettség tekintetében Hivatal az adatkezelés tényéről és a nyilvántartást ténylegesen vezető szerv megnevezéséről a</w:t>
      </w:r>
      <w:r w:rsidR="00795A80">
        <w:rPr>
          <w:rFonts w:ascii="Times New Roman" w:hAnsi="Times New Roman" w:cs="Times New Roman"/>
          <w:sz w:val="24"/>
          <w:szCs w:val="24"/>
        </w:rPr>
        <w:t>z önkormányzat</w:t>
      </w:r>
      <w:r>
        <w:rPr>
          <w:rFonts w:ascii="Times New Roman" w:hAnsi="Times New Roman" w:cs="Times New Roman"/>
          <w:sz w:val="24"/>
          <w:szCs w:val="24"/>
        </w:rPr>
        <w:t xml:space="preserve"> honlapján tájékoztatást tesz közzé, ahol – amennyiben lehetséges – feltünteti a nyilvántartást vezető szerv GDPR rendelet szerinti részletes tájékoztatásának elérhetőségét is.</w:t>
      </w:r>
    </w:p>
    <w:p w:rsidR="00B44D85" w:rsidRDefault="00F84976">
      <w:pPr>
        <w:pStyle w:val="Listaszerbekezds"/>
        <w:numPr>
          <w:ilvl w:val="0"/>
          <w:numId w:val="24"/>
        </w:numPr>
        <w:spacing w:after="0"/>
        <w:ind w:left="1276" w:hanging="425"/>
        <w:jc w:val="both"/>
        <w:rPr>
          <w:rFonts w:ascii="Times New Roman" w:hAnsi="Times New Roman" w:cs="Times New Roman"/>
          <w:sz w:val="24"/>
          <w:szCs w:val="24"/>
        </w:rPr>
      </w:pPr>
      <w:r>
        <w:rPr>
          <w:rFonts w:ascii="Times New Roman" w:hAnsi="Times New Roman" w:cs="Times New Roman"/>
          <w:sz w:val="24"/>
          <w:szCs w:val="24"/>
        </w:rPr>
        <w:t>A GDPR rendelet 30. cikkében előírt adatkezelési nyilvántartás vezetéséről, és az erre vonatkozó kérések megválaszolásáról a nyilvántartást vezető szerv gondoskodik.</w:t>
      </w:r>
    </w:p>
    <w:p w:rsidR="00B44D85" w:rsidRDefault="00B44D85">
      <w:pPr>
        <w:spacing w:after="0"/>
        <w:ind w:left="1080"/>
        <w:jc w:val="both"/>
        <w:rPr>
          <w:rFonts w:ascii="Times New Roman" w:hAnsi="Times New Roman" w:cs="Times New Roman"/>
          <w:sz w:val="24"/>
          <w:szCs w:val="24"/>
        </w:rPr>
      </w:pPr>
    </w:p>
    <w:p w:rsidR="00B44D85" w:rsidRDefault="00F84976">
      <w:pPr>
        <w:pStyle w:val="Listaszerbekezds"/>
        <w:numPr>
          <w:ilvl w:val="0"/>
          <w:numId w:val="2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E fejezet szerint kell eljárni olyan szerv vagy szolgáltató által biztosított informatikai alkalmazások igénybevételénél azok adatkezelést érintő műveletei tekintetében, amelyek tartósan nem tartanak nyilván személyes adatokat, de amelyek felhasználásra kerülnek valamely jogszabályban meghatározott személyes-adat kezelési feladathoz. Ez esetben nyilvántartás alatt az adatkezelésbe bevont alkalmazási program értendő.</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880E54" w:rsidRDefault="00880E54">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3" w:name="_Toc513465076"/>
      <w:r>
        <w:rPr>
          <w:rFonts w:cs="Times New Roman"/>
          <w:b/>
        </w:rPr>
        <w:t>A jogszabályban meghatározott feladat- és hatáskörök ellátásához kapcsolódó, a Hivatal által nyilvántartott adatok adatkezelése</w:t>
      </w:r>
      <w:bookmarkEnd w:id="3"/>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Az adatkezelés jogalapja</w:t>
      </w:r>
    </w:p>
    <w:p w:rsidR="00B44D85" w:rsidRDefault="00B44D85">
      <w:pPr>
        <w:spacing w:after="0"/>
        <w:jc w:val="both"/>
        <w:rPr>
          <w:rFonts w:ascii="Times New Roman" w:hAnsi="Times New Roman" w:cs="Times New Roman"/>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A személyes adatok Hivatal által történő kötelező nyilvántartását igénylő személyes adatkezelést a Hivatal közvetlen (az adatkezelés az adatkezelőre vonatkozó jogi kötelezettség vagy közérdekű feladat teljesítéséhez szükséges) jogalap alapján végzi. </w:t>
      </w:r>
    </w:p>
    <w:p w:rsidR="00B44D85" w:rsidRDefault="00B44D85">
      <w:pPr>
        <w:spacing w:after="0"/>
        <w:ind w:left="284" w:hanging="426"/>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Az adatkezelői feladatok ellátása</w:t>
      </w:r>
    </w:p>
    <w:p w:rsidR="00B44D85" w:rsidRDefault="00B44D85">
      <w:pPr>
        <w:pStyle w:val="Listaszerbekezds"/>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pStyle w:val="Listaszerbekezds"/>
        <w:spacing w:after="0"/>
        <w:ind w:left="0"/>
        <w:rPr>
          <w:rFonts w:ascii="Times New Roman" w:hAnsi="Times New Roman" w:cs="Times New Roman"/>
          <w:b/>
          <w:sz w:val="24"/>
          <w:szCs w:val="24"/>
        </w:rPr>
      </w:pPr>
    </w:p>
    <w:p w:rsidR="00B44D85" w:rsidRDefault="00F84976">
      <w:pPr>
        <w:pStyle w:val="Listaszerbekezds"/>
        <w:numPr>
          <w:ilvl w:val="0"/>
          <w:numId w:val="2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gondoskodik a GDPR rendelet 24. és 25. és 32. cikkében megszabottaknak teljesítéséről.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5"/>
        </w:numPr>
        <w:spacing w:after="0"/>
        <w:ind w:left="284" w:hanging="426"/>
        <w:jc w:val="both"/>
      </w:pPr>
      <w:r>
        <w:rPr>
          <w:rFonts w:ascii="Times New Roman" w:hAnsi="Times New Roman" w:cs="Times New Roman"/>
          <w:sz w:val="24"/>
          <w:szCs w:val="24"/>
        </w:rPr>
        <w:t>Az érintett fél megismerési, helyesbítési jogát - ha jogszabály másképp nem rendelkezik - a Hivatalnál gyakorolhatja. Az erre vonatkozó kérelmét a</w:t>
      </w:r>
      <w:r w:rsidR="00DF0F0A">
        <w:rPr>
          <w:rFonts w:ascii="Times New Roman" w:hAnsi="Times New Roman" w:cs="Times New Roman"/>
          <w:sz w:val="24"/>
          <w:szCs w:val="24"/>
        </w:rPr>
        <w:t xml:space="preserve"> jegyzőnél</w:t>
      </w:r>
      <w:r>
        <w:rPr>
          <w:rFonts w:ascii="Times New Roman" w:hAnsi="Times New Roman" w:cs="Times New Roman"/>
          <w:sz w:val="24"/>
          <w:szCs w:val="24"/>
        </w:rPr>
        <w:t xml:space="preserve"> terjesztheti elő, a</w:t>
      </w:r>
      <w:r w:rsidR="00DF0F0A">
        <w:rPr>
          <w:rFonts w:ascii="Times New Roman" w:hAnsi="Times New Roman" w:cs="Times New Roman"/>
          <w:sz w:val="24"/>
          <w:szCs w:val="24"/>
        </w:rPr>
        <w:t>ki</w:t>
      </w:r>
      <w:r>
        <w:rPr>
          <w:rFonts w:ascii="Times New Roman" w:hAnsi="Times New Roman" w:cs="Times New Roman"/>
          <w:sz w:val="24"/>
          <w:szCs w:val="24"/>
        </w:rPr>
        <w:t xml:space="preserve"> az általános ügyintézési határidőn belül azt megválaszolja.</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5"/>
        </w:numPr>
        <w:spacing w:after="0"/>
        <w:ind w:left="284" w:hanging="426"/>
        <w:jc w:val="both"/>
      </w:pPr>
      <w:r>
        <w:rPr>
          <w:rFonts w:ascii="Times New Roman" w:hAnsi="Times New Roman" w:cs="Times New Roman"/>
          <w:sz w:val="24"/>
          <w:szCs w:val="24"/>
        </w:rPr>
        <w:t>A Hivatal által jogszabály alapján vezetett nyilvántartásokban a megismerési, valamint helyesbítési jog a nyilvántartásra vonatkozó jogszabályban foglaltak szerint - ennek hiányában az általános ügyintézésre vonatkozó szabályok szerint - gyakorolható.</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Érintett tiltakozási joggal, illetve korlátozási igénnyel a közvetlen vagy közvetve jogszabályi előírás alapján vezetett nyilvántartások esetében nem élhet.</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általános tájékoztatási kötelezettség tekintetében Hivatal a</w:t>
      </w:r>
      <w:r w:rsidR="00DF0F0A">
        <w:rPr>
          <w:rFonts w:ascii="Times New Roman" w:hAnsi="Times New Roman" w:cs="Times New Roman"/>
          <w:sz w:val="24"/>
          <w:szCs w:val="24"/>
        </w:rPr>
        <w:t>z önkormányzat</w:t>
      </w:r>
      <w:r>
        <w:rPr>
          <w:rFonts w:ascii="Times New Roman" w:hAnsi="Times New Roman" w:cs="Times New Roman"/>
          <w:sz w:val="24"/>
          <w:szCs w:val="24"/>
        </w:rPr>
        <w:t xml:space="preserve"> honlapján tájékoztatást tesz közzé</w:t>
      </w:r>
    </w:p>
    <w:p w:rsidR="00B44D85" w:rsidRDefault="00F84976">
      <w:pPr>
        <w:pStyle w:val="Listaszerbekezds"/>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az e fejezet alá tartozó adatkezelések tényéről, </w:t>
      </w:r>
    </w:p>
    <w:p w:rsidR="00B44D85" w:rsidRDefault="00F84976">
      <w:pPr>
        <w:pStyle w:val="Listaszerbekezds"/>
        <w:numPr>
          <w:ilvl w:val="1"/>
          <w:numId w:val="26"/>
        </w:numPr>
        <w:spacing w:after="0"/>
        <w:jc w:val="both"/>
        <w:rPr>
          <w:rFonts w:ascii="Times New Roman" w:hAnsi="Times New Roman" w:cs="Times New Roman"/>
          <w:sz w:val="24"/>
          <w:szCs w:val="24"/>
        </w:rPr>
      </w:pPr>
      <w:r>
        <w:rPr>
          <w:rFonts w:ascii="Times New Roman" w:hAnsi="Times New Roman" w:cs="Times New Roman"/>
          <w:sz w:val="24"/>
          <w:szCs w:val="24"/>
        </w:rPr>
        <w:t>az adatvédelmi tisztviselő elérhetőségéről,</w:t>
      </w:r>
    </w:p>
    <w:p w:rsidR="00B44D85" w:rsidRDefault="00F84976">
      <w:pPr>
        <w:pStyle w:val="Listaszerbekezds"/>
        <w:numPr>
          <w:ilvl w:val="1"/>
          <w:numId w:val="26"/>
        </w:numPr>
        <w:spacing w:after="0"/>
        <w:jc w:val="both"/>
      </w:pPr>
      <w:r>
        <w:rPr>
          <w:rFonts w:ascii="Times New Roman" w:hAnsi="Times New Roman" w:cs="Times New Roman"/>
          <w:sz w:val="24"/>
          <w:szCs w:val="24"/>
        </w:rPr>
        <w:t>a személyes adatkezelésben érintettek megismerési, helyesbítési jogai gyakorlásához szükséges ügymenetről.</w:t>
      </w:r>
    </w:p>
    <w:p w:rsidR="00B44D85" w:rsidRDefault="00B44D85">
      <w:pPr>
        <w:spacing w:after="0"/>
        <w:ind w:left="284" w:hanging="426"/>
        <w:jc w:val="both"/>
        <w:rPr>
          <w:rFonts w:ascii="Times New Roman" w:hAnsi="Times New Roman" w:cs="Times New Roman"/>
          <w:sz w:val="24"/>
          <w:szCs w:val="24"/>
        </w:rPr>
      </w:pP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5"/>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e fejezet szerinti, általános közérdeket szolgáló, jogszabályi előírás alapján vezetett nyilvántartásokban történő személyes adat változtatásról más adatkezelők értesítése csak jogszabályban előírtak szerint történhet.</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4" w:name="_Toc513465077"/>
      <w:r>
        <w:rPr>
          <w:rFonts w:cs="Times New Roman"/>
          <w:b/>
        </w:rPr>
        <w:t>Az adatkezelési tevékenységek nyilvántartása</w:t>
      </w:r>
      <w:bookmarkEnd w:id="4"/>
    </w:p>
    <w:p w:rsidR="00B44D85" w:rsidRDefault="00B44D85" w:rsidP="00505A57">
      <w:pPr>
        <w:pStyle w:val="Listaszerbekezds"/>
        <w:spacing w:after="0"/>
        <w:ind w:left="0"/>
        <w:rPr>
          <w:rFonts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Hivatal, mint adatkezelő a felelősségébe tartozóan végzett adatkezelési tevékenységekről írásban – ideértve az elektronikus formátumot is – nyilvántartást vezet.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nyilvántartás tartalmazza a következő információkat:</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az adatkezelő neve és elérhetősége, valamint – ha van ilyen – a közös adatkezelőnek, az adatkezelő képviselőjének és az adatvédelmi tisztviselőnek a neve és elérhetősége;</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 xml:space="preserve">az adatkezelés céljai; </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az érintettek kategóriáinak, valamint a személyes adatok kategóriáinak ismertetése;</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olyan címzettek kategóriái, akikkel a személyes adatokat közlik vagy közölni fogják, ideértve a harmadik országbeli címzetteket vagy nemzetközi szervezeteket;</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adott esetben a személyes adatok harmadik országba vagy nemzetközi szervezet részére történő továbbítására vonatkozó információk, beleértve a harmadik ország vagy a nemzetközi szervezet azonosítását, valamint a GDPR rendelet 49. cikk (1) bekezdésének második albekezdés szerinti továbbítás esetében a megfelelő garanciák leírása;</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ha lehetséges, a különböző adatkategóriák törlésére előirányzott határidők;</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ha lehetséges, a 32. cikk (1) bekezdésében említett technikai és szervezési intézkedések általános leírása.</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mint adatfeldolgozó írásban – ideértve az elektronikus formátumot is –nyilvántartást vezet az adatkezelő nevében végzett adatkezelési tevékenységek minden kategóriájáról.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nyilvántartás tartalmazza a következő információkat:</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az adatfeldolgozó vagy adatfeldolgozók neve és elérhetőségei, és minden olyan adatkezelő neve és elérhetőségei, amelynek a nevében az adatfeldolgozó eljár, továbbá – ha van ilyen – az adatkezelő vagy az adatfeldolgozó képviselőjének, valamint az adatvédelmi tisztviselőnek a neve és elérhetőségei;</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az egyes adatkezelők nevében végzett adatkezelési tevékenységek kategóriái;</w:t>
      </w:r>
    </w:p>
    <w:p w:rsidR="00B44D85" w:rsidRDefault="00F84976">
      <w:pPr>
        <w:pStyle w:val="Listaszerbekezds"/>
        <w:numPr>
          <w:ilvl w:val="1"/>
          <w:numId w:val="7"/>
        </w:numPr>
        <w:spacing w:after="0"/>
        <w:ind w:left="993" w:hanging="426"/>
        <w:jc w:val="both"/>
        <w:rPr>
          <w:rFonts w:ascii="Times New Roman" w:hAnsi="Times New Roman" w:cs="Times New Roman"/>
          <w:sz w:val="24"/>
          <w:szCs w:val="24"/>
        </w:rPr>
      </w:pPr>
      <w:r>
        <w:rPr>
          <w:rFonts w:ascii="Times New Roman" w:hAnsi="Times New Roman" w:cs="Times New Roman"/>
          <w:sz w:val="24"/>
          <w:szCs w:val="24"/>
        </w:rPr>
        <w:t>adott esetben a személyes adatok harmadik országba vagy nemzetközi szervezet részére történő továbbítása, beleértve a harmadik ország vagy a nemzetközi szervezet azonosítását, valamint a GDPR rendelet 49. cikk (1) bekezdése második albekezdése szerinti továbbítás esetében a megfelelő garanciák leírása.</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mint adatkezelő, vagy mint adatfeldolgozó megkeresés alapján a felügyeleti hatóság rendelkezésére bocsátja az általa vezetett adatkezelési tevékenységek nyilvántartását.</w:t>
      </w:r>
    </w:p>
    <w:p w:rsidR="00B44D85" w:rsidRDefault="00B44D85">
      <w:pPr>
        <w:spacing w:after="0"/>
        <w:jc w:val="both"/>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5" w:name="_Toc513465078"/>
      <w:r>
        <w:rPr>
          <w:rFonts w:cs="Times New Roman"/>
          <w:b/>
        </w:rPr>
        <w:t>Funkcionális működéssel kapcsolatos személyes adatok adatkezelése</w:t>
      </w:r>
      <w:bookmarkEnd w:id="5"/>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Az adatkezelés jogalapja</w:t>
      </w:r>
    </w:p>
    <w:p w:rsidR="00B44D85" w:rsidRDefault="00B44D85">
      <w:pPr>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21"/>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funkcionális feladatainak ellátása során az alábbi feltételek alapján végzi a személyes adatok kezelését</w:t>
      </w:r>
    </w:p>
    <w:p w:rsidR="00B44D85" w:rsidRDefault="00F84976">
      <w:pPr>
        <w:pStyle w:val="Listaszerbekezds"/>
        <w:numPr>
          <w:ilvl w:val="0"/>
          <w:numId w:val="22"/>
        </w:numPr>
        <w:spacing w:after="0"/>
        <w:ind w:left="1276"/>
        <w:jc w:val="both"/>
        <w:rPr>
          <w:rFonts w:ascii="Times New Roman" w:hAnsi="Times New Roman" w:cs="Times New Roman"/>
          <w:sz w:val="24"/>
          <w:szCs w:val="24"/>
        </w:rPr>
      </w:pPr>
      <w:r>
        <w:rPr>
          <w:rFonts w:ascii="Times New Roman" w:hAnsi="Times New Roman" w:cs="Times New Roman"/>
          <w:sz w:val="24"/>
          <w:szCs w:val="24"/>
        </w:rPr>
        <w:t>az adatkezelőre vonatkozó jogi kötelezettség vagy közérdekű feladat teljesítéséhez szükséges, vagy</w:t>
      </w:r>
    </w:p>
    <w:p w:rsidR="00B44D85" w:rsidRDefault="00F84976">
      <w:pPr>
        <w:pStyle w:val="Listaszerbekezds"/>
        <w:numPr>
          <w:ilvl w:val="0"/>
          <w:numId w:val="22"/>
        </w:numPr>
        <w:spacing w:after="0"/>
        <w:ind w:left="1276"/>
        <w:jc w:val="both"/>
        <w:rPr>
          <w:rFonts w:ascii="Times New Roman" w:hAnsi="Times New Roman" w:cs="Times New Roman"/>
          <w:sz w:val="24"/>
          <w:szCs w:val="24"/>
        </w:rPr>
      </w:pPr>
      <w:r>
        <w:rPr>
          <w:rFonts w:ascii="Times New Roman" w:hAnsi="Times New Roman" w:cs="Times New Roman"/>
          <w:sz w:val="24"/>
          <w:szCs w:val="24"/>
        </w:rPr>
        <w:t>az adatkezelés az adatkezelő vagy egy harmadik fél jogos érdekeinek érvényesítéséhez szükséges, vagy</w:t>
      </w:r>
    </w:p>
    <w:p w:rsidR="00B44D85" w:rsidRDefault="00F84976">
      <w:pPr>
        <w:pStyle w:val="Listaszerbekezds"/>
        <w:numPr>
          <w:ilvl w:val="0"/>
          <w:numId w:val="22"/>
        </w:numPr>
        <w:spacing w:after="0"/>
        <w:ind w:left="1276"/>
        <w:jc w:val="both"/>
        <w:rPr>
          <w:rFonts w:ascii="Times New Roman" w:hAnsi="Times New Roman" w:cs="Times New Roman"/>
          <w:sz w:val="24"/>
          <w:szCs w:val="24"/>
        </w:rPr>
      </w:pPr>
      <w:r>
        <w:rPr>
          <w:rFonts w:ascii="Times New Roman" w:hAnsi="Times New Roman" w:cs="Times New Roman"/>
          <w:sz w:val="24"/>
          <w:szCs w:val="24"/>
        </w:rPr>
        <w:t>az adatkezelés olyan szerződés teljesítéséhez szükséges, amelyben az érintett az egyik fél.</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Az adatkezelői feladatok ellátása</w:t>
      </w:r>
    </w:p>
    <w:p w:rsidR="00B44D85" w:rsidRDefault="00B44D85">
      <w:pPr>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pStyle w:val="Listaszerbekezds"/>
        <w:spacing w:after="0"/>
        <w:ind w:left="0"/>
        <w:rPr>
          <w:rFonts w:ascii="Times New Roman" w:hAnsi="Times New Roman" w:cs="Times New Roman"/>
          <w:b/>
          <w:sz w:val="24"/>
          <w:szCs w:val="24"/>
        </w:rPr>
      </w:pPr>
    </w:p>
    <w:p w:rsidR="00B44D85" w:rsidRDefault="00F84976">
      <w:pPr>
        <w:pStyle w:val="Listaszerbekezds"/>
        <w:numPr>
          <w:ilvl w:val="0"/>
          <w:numId w:val="23"/>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foglalkoztatottakat a felvételt megelőzően részletesen tájékoztatja a Hivatal által végzett rájuk vonatkozó személyes adatkezelésről. A ráruházott közhatalmi jogkör gyakorlásához a Hivatal zavartalan jogszerű működésének biztosíthatósága érdekében az alkalmazás feltétele az adatkezelések tudomásul vétele.</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3"/>
        </w:numPr>
        <w:spacing w:after="0"/>
        <w:ind w:left="284" w:hanging="426"/>
        <w:jc w:val="both"/>
      </w:pPr>
      <w:r>
        <w:rPr>
          <w:rFonts w:ascii="Times New Roman" w:hAnsi="Times New Roman" w:cs="Times New Roman"/>
          <w:sz w:val="24"/>
          <w:szCs w:val="24"/>
        </w:rPr>
        <w:t xml:space="preserve">Az érintett foglalkoztatott részére a Hivatal - a jogszabályban nem megismerhetőnek előírt adatkörök kivételével - biztosítja a kezelt személyes adataihoz való hozzáférést. A kérelmet a humánpolitikai referensnél kell előterjeszteni.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3"/>
        </w:numPr>
        <w:spacing w:after="0"/>
        <w:ind w:left="284" w:hanging="426"/>
        <w:jc w:val="both"/>
      </w:pPr>
      <w:r>
        <w:rPr>
          <w:rFonts w:ascii="Times New Roman" w:hAnsi="Times New Roman" w:cs="Times New Roman"/>
          <w:sz w:val="24"/>
          <w:szCs w:val="24"/>
        </w:rPr>
        <w:t>Az érintett foglalkoztatott részére a Hivatal biztosítja a helyesbítési jog gyakorlását. Helyesbítésre vonatkozó kérelmet a téves adat megnevezésével és a helyes adat igazolt megadásával lehet kezdeményezni a humánpolitikai referensnél.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3"/>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funkcionális működésével összefüggésben vezetett nyilvántartásokból személyes adat átadást csak a jogszabályi előírások szerint teljesít.</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3"/>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az alkalmazás megszűnését követően a foglalkoztatottra vonatkozó személyes adatokat a jogszabályokban megadott megőrzési ideig tárolja. Ezen adatokra helyesbítés már nem kérhető.</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3"/>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szerződéses kapcsolatokkal összefüggő adatkezelés esetében az adatokhoz hozzáférés, helyesbítés csak a szerződés egészére vonatkozó hozzáférési, módosítási kérelemként értelmezhető, annak szabályai szerint hajtható végre. Szerződés nyilvántartásával kapcsolatban a tiltakozási jog nem gyakorolható.</w:t>
      </w:r>
    </w:p>
    <w:p w:rsidR="00B44D85" w:rsidRDefault="00B44D85">
      <w:pPr>
        <w:spacing w:after="0"/>
        <w:jc w:val="both"/>
        <w:rPr>
          <w:rFonts w:ascii="Times New Roman" w:hAnsi="Times New Roman" w:cs="Times New Roman"/>
          <w:sz w:val="24"/>
          <w:szCs w:val="24"/>
        </w:rPr>
      </w:pPr>
    </w:p>
    <w:p w:rsidR="000B344B" w:rsidRDefault="000B344B">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B44D85">
      <w:pPr>
        <w:pStyle w:val="Listaszerbekezds"/>
        <w:rPr>
          <w:rFonts w:ascii="Times New Roman" w:hAnsi="Times New Roman" w:cs="Times New Roman"/>
          <w:b/>
          <w:sz w:val="28"/>
          <w:szCs w:val="28"/>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cs="Times New Roman"/>
          <w:b/>
        </w:rPr>
        <w:t xml:space="preserve"> </w:t>
      </w:r>
      <w:r>
        <w:rPr>
          <w:rFonts w:ascii="Times New Roman" w:hAnsi="Times New Roman" w:cs="Times New Roman"/>
          <w:b/>
          <w:bCs/>
          <w:sz w:val="24"/>
          <w:szCs w:val="24"/>
        </w:rPr>
        <w:t>Informatikai lehetőségek magáncélra történő használatának feltételei</w:t>
      </w:r>
    </w:p>
    <w:p w:rsidR="00B44D85" w:rsidRDefault="00B44D85">
      <w:pPr>
        <w:pStyle w:val="Listaszerbekezds"/>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foglalkoztatottak a hivatali elektronikus levelezési (a továbbiakban: e-mail) szolgáltatást hivatali célra vehetik igénybe.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nem szankcionálja a magáncélú igénybevételt, de a foglalkoztatottnak tudomásul kell vennie</w:t>
      </w:r>
    </w:p>
    <w:p w:rsidR="00B44D85" w:rsidRDefault="00F84976">
      <w:pPr>
        <w:pStyle w:val="Listaszerbekezds"/>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a névre szóló hivatali címre érkező bármely e-mail-t a Hivatal a rendszergazda bevonásával kiolvashatja,</w:t>
      </w:r>
    </w:p>
    <w:p w:rsidR="00B44D85" w:rsidRDefault="00F84976">
      <w:pPr>
        <w:pStyle w:val="Listaszerbekezds"/>
        <w:numPr>
          <w:ilvl w:val="1"/>
          <w:numId w:val="32"/>
        </w:numPr>
        <w:spacing w:after="0"/>
        <w:jc w:val="both"/>
        <w:rPr>
          <w:rFonts w:ascii="Times New Roman" w:hAnsi="Times New Roman" w:cs="Times New Roman"/>
          <w:sz w:val="24"/>
          <w:szCs w:val="24"/>
        </w:rPr>
      </w:pPr>
      <w:r>
        <w:rPr>
          <w:rFonts w:ascii="Times New Roman" w:hAnsi="Times New Roman" w:cs="Times New Roman"/>
          <w:sz w:val="24"/>
          <w:szCs w:val="24"/>
        </w:rPr>
        <w:t>az alkalmazás megszűnését követően az e-mail fiók nem kerül törlésre, mivel a hivatalos célból folytatott kapcsolattartási adatokra a Hivatalnak szüksége van.</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Hivatal a hivatali munkához nem kapcsolódó elektronikus leveleket semmilyen célra nem használja fel, azok illetéktelen megismerés elleni védelmét az alkalmazás megszűnését követően is biztosítja.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pPr>
      <w:r>
        <w:rPr>
          <w:rFonts w:ascii="Times New Roman" w:hAnsi="Times New Roman" w:cs="Times New Roman"/>
          <w:sz w:val="24"/>
          <w:szCs w:val="24"/>
        </w:rPr>
        <w:t>A Hivatal erre feljogosított informatikai biztonsági felelőse a biztonsági szempontok érvényesítése érdekében jogosult az elektronikus levelező rendszer adatai megismerésére a GDPR rendelet (49) preambulum-bekezdésben foglaltakkal összhangban. A megismert adat biztonsági szempontokon túl más célra nem használható fel.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egyes munkaállomásokon biztosítja a nyilvános internet elérést. A foglalkoztatott a nyilvános interneten végzett tevékenysége a szervezettől független, otthoni vagy nyilvános helyen végzett tevékenységével azonos megítélés alá esik.</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internetes kommunikáció során meggondolt, felelős magatartással kell a veszélyforrásokat és valós kockázatokat elkerülni, a védett adatok megszerzésének lehetőségét kizárni. Fentiek be nem tartása, megsértése a foglalkoztatott fegyelmi és – károkozás esetén – kártérítési felelősségét vonhatja maga után.</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6" w:name="_Toc513465079"/>
      <w:r>
        <w:rPr>
          <w:rFonts w:cs="Times New Roman"/>
          <w:b/>
        </w:rPr>
        <w:t>Szervezeti követelmények</w:t>
      </w:r>
      <w:bookmarkEnd w:id="6"/>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Betöltendő szerepek</w:t>
      </w:r>
    </w:p>
    <w:p w:rsidR="00B44D85" w:rsidRDefault="00B44D85">
      <w:pPr>
        <w:spacing w:after="0"/>
        <w:ind w:left="284" w:hanging="284"/>
        <w:jc w:val="both"/>
        <w:rPr>
          <w:rFonts w:ascii="Times New Roman" w:hAnsi="Times New Roman" w:cs="Times New Roman"/>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pStyle w:val="Listaszerbekezds"/>
        <w:spacing w:after="0"/>
        <w:ind w:left="0"/>
        <w:rPr>
          <w:rFonts w:ascii="Times New Roman" w:hAnsi="Times New Roman" w:cs="Times New Roman"/>
          <w:b/>
          <w:sz w:val="24"/>
          <w:szCs w:val="24"/>
        </w:rPr>
      </w:pPr>
    </w:p>
    <w:p w:rsidR="00B44D85" w:rsidRDefault="00F84976">
      <w:pPr>
        <w:pStyle w:val="Listaszerbekezds"/>
        <w:numPr>
          <w:ilvl w:val="0"/>
          <w:numId w:val="1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személyes adatok megfelelő védelme érdekében az alábbi feladatköröket nevesíti:</w:t>
      </w:r>
    </w:p>
    <w:p w:rsidR="00B44D85" w:rsidRDefault="00F84976">
      <w:pPr>
        <w:pStyle w:val="Listaszerbekezds"/>
        <w:numPr>
          <w:ilvl w:val="1"/>
          <w:numId w:val="14"/>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adatvédelmi tisztviselő</w:t>
      </w:r>
    </w:p>
    <w:p w:rsidR="00B44D85" w:rsidRDefault="00F84976">
      <w:pPr>
        <w:pStyle w:val="Listaszerbekezds"/>
        <w:numPr>
          <w:ilvl w:val="1"/>
          <w:numId w:val="14"/>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adatfelelős</w:t>
      </w:r>
    </w:p>
    <w:p w:rsidR="00B44D85" w:rsidRDefault="00F84976">
      <w:pPr>
        <w:pStyle w:val="Listaszerbekezds"/>
        <w:numPr>
          <w:ilvl w:val="1"/>
          <w:numId w:val="14"/>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informatikai biztonsági felelős</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2"/>
        </w:numPr>
        <w:spacing w:after="0"/>
        <w:ind w:left="284" w:hanging="426"/>
        <w:jc w:val="both"/>
        <w:rPr>
          <w:rFonts w:ascii="Times New Roman" w:eastAsia="Times New Roman" w:hAnsi="Times New Roman" w:cs="Times New Roman"/>
          <w:sz w:val="24"/>
          <w:szCs w:val="24"/>
        </w:rPr>
      </w:pPr>
      <w:r>
        <w:rPr>
          <w:rFonts w:ascii="Times New Roman" w:hAnsi="Times New Roman" w:cs="Times New Roman"/>
          <w:sz w:val="24"/>
          <w:szCs w:val="24"/>
        </w:rPr>
        <w:t xml:space="preserve">Az adatvédelmi tisztviselő </w:t>
      </w:r>
      <w:r>
        <w:rPr>
          <w:rFonts w:ascii="Times New Roman" w:eastAsia="Times New Roman" w:hAnsi="Times New Roman" w:cs="Times New Roman"/>
          <w:sz w:val="24"/>
          <w:szCs w:val="24"/>
        </w:rPr>
        <w:t xml:space="preserve"> </w:t>
      </w:r>
    </w:p>
    <w:p w:rsidR="00B44D85" w:rsidRDefault="00F84976">
      <w:pPr>
        <w:pStyle w:val="Listaszerbekezds"/>
        <w:numPr>
          <w:ilvl w:val="1"/>
          <w:numId w:val="13"/>
        </w:numPr>
        <w:spacing w:after="0"/>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a GDPR rendelet 38. cikk (3) bekezdése alapján feladatai ellátásával kapcsolatban </w:t>
      </w:r>
      <w:r>
        <w:rPr>
          <w:rFonts w:ascii="Times New Roman" w:eastAsia="Times New Roman" w:hAnsi="Times New Roman" w:cs="Times New Roman"/>
          <w:sz w:val="24"/>
          <w:szCs w:val="24"/>
        </w:rPr>
        <w:t xml:space="preserve">utasítást nem kaphat, </w:t>
      </w:r>
    </w:p>
    <w:p w:rsidR="00B44D85" w:rsidRDefault="00F84976">
      <w:pPr>
        <w:pStyle w:val="Listaszerbekezds"/>
        <w:numPr>
          <w:ilvl w:val="1"/>
          <w:numId w:val="13"/>
        </w:numPr>
        <w:spacing w:after="0"/>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közvetlenül a szervezet vezetőjének tartozik felelősséggel,</w:t>
      </w:r>
    </w:p>
    <w:p w:rsidR="00B44D85" w:rsidRDefault="00F84976">
      <w:pPr>
        <w:pStyle w:val="Listaszerbekezds"/>
        <w:numPr>
          <w:ilvl w:val="1"/>
          <w:numId w:val="13"/>
        </w:numPr>
        <w:spacing w:after="0"/>
        <w:ind w:left="851" w:hanging="284"/>
        <w:jc w:val="both"/>
        <w:rPr>
          <w:rFonts w:ascii="Times New Roman" w:hAnsi="Times New Roman" w:cs="Times New Roman"/>
          <w:sz w:val="24"/>
          <w:szCs w:val="24"/>
        </w:rPr>
      </w:pPr>
      <w:r>
        <w:rPr>
          <w:rFonts w:ascii="Times New Roman" w:eastAsia="Times New Roman" w:hAnsi="Times New Roman" w:cs="Times New Roman"/>
          <w:sz w:val="24"/>
          <w:szCs w:val="24"/>
        </w:rPr>
        <w:t>ellenőrzési jogköre az adatvédelem tekintetében a Hivatal valamennyi</w:t>
      </w:r>
      <w:r>
        <w:rPr>
          <w:rFonts w:ascii="Times New Roman" w:hAnsi="Times New Roman" w:cs="Times New Roman"/>
          <w:sz w:val="24"/>
          <w:szCs w:val="24"/>
        </w:rPr>
        <w:t xml:space="preserve"> </w:t>
      </w:r>
      <w:r w:rsidR="003717CE">
        <w:rPr>
          <w:rFonts w:ascii="Times New Roman" w:hAnsi="Times New Roman" w:cs="Times New Roman"/>
          <w:sz w:val="24"/>
          <w:szCs w:val="24"/>
        </w:rPr>
        <w:t>foglalkoztatottja által ellátott feladatra</w:t>
      </w:r>
      <w:r>
        <w:rPr>
          <w:rFonts w:ascii="Times New Roman" w:hAnsi="Times New Roman" w:cs="Times New Roman"/>
          <w:sz w:val="24"/>
          <w:szCs w:val="24"/>
        </w:rPr>
        <w:t xml:space="preserve"> kiterjed.</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adatvédelmi tisztviselő feladatai</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tájékoztat és szakmai tanácsot ad az adatkezelő vagy az adatfeldolgozó, továbbá az adatkezelést végző foglalkoztatottak részére az adatvédelmi rendelkezések szerinti kötelezettségeikkel kapcsolatban;</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ellenőrzi az adatvédelmi rendelkezéseknek, továbbá az adatkezelő vagy az adatfeldolgozó személyes adatok védelmével kapcsolatos belső szabályainak való megfelelést, ideértve a feladatkörök kijelölését, az adatkezelési műveletekben vevő személyzet tudatosság-növelését és képzését, valamint a kapcsolódó auditokat is;</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 xml:space="preserve">tanácsot ad az adatvédelmi hatásvizsgálatra vonatkozóan, valamint nyomon követi a hatásvizsgálat elvégzését; </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az adatkezeléssel összefüggő ügyekben egyeztet a felügyeleti hatósággal;</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vezeti az adatkezelési nyilvántartást;</w:t>
      </w:r>
    </w:p>
    <w:p w:rsidR="00B44D85" w:rsidRDefault="00F84976">
      <w:pPr>
        <w:pStyle w:val="Listaszerbekezds"/>
        <w:numPr>
          <w:ilvl w:val="2"/>
          <w:numId w:val="12"/>
        </w:numPr>
        <w:spacing w:after="0"/>
        <w:ind w:left="851" w:hanging="284"/>
        <w:jc w:val="both"/>
        <w:rPr>
          <w:rFonts w:ascii="Times New Roman" w:hAnsi="Times New Roman" w:cs="Times New Roman"/>
          <w:sz w:val="24"/>
          <w:szCs w:val="24"/>
        </w:rPr>
      </w:pPr>
      <w:r>
        <w:rPr>
          <w:rFonts w:ascii="Times New Roman" w:hAnsi="Times New Roman" w:cs="Times New Roman"/>
          <w:sz w:val="24"/>
          <w:szCs w:val="24"/>
        </w:rPr>
        <w:t>vezeti az adatvédelmi incidensek nyilvántartását.</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2"/>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adatvédelmi tisztviselő feladatait az adatkezelési műveletekhez fűződő kockázat megfelelő figyelembevételével, az adatkezelés jellegére, hatókörére, körülményére és céljára is tekintettel végzi.</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2"/>
        </w:numPr>
        <w:spacing w:after="0"/>
        <w:ind w:left="284" w:hanging="426"/>
        <w:jc w:val="both"/>
        <w:rPr>
          <w:rFonts w:ascii="Times New Roman" w:eastAsia="Times New Roman" w:hAnsi="Times New Roman" w:cs="Times New Roman"/>
          <w:sz w:val="24"/>
          <w:szCs w:val="24"/>
        </w:rPr>
      </w:pPr>
      <w:r>
        <w:rPr>
          <w:rFonts w:ascii="Times New Roman" w:hAnsi="Times New Roman" w:cs="Times New Roman"/>
          <w:sz w:val="24"/>
          <w:szCs w:val="24"/>
        </w:rPr>
        <w:t>Az adatfelelős a</w:t>
      </w:r>
      <w:r>
        <w:rPr>
          <w:rFonts w:ascii="Times New Roman" w:eastAsia="Times New Roman" w:hAnsi="Times New Roman" w:cs="Times New Roman"/>
          <w:sz w:val="24"/>
          <w:szCs w:val="24"/>
        </w:rPr>
        <w:t xml:space="preserve"> Hivatal azon </w:t>
      </w:r>
      <w:r w:rsidR="003717CE">
        <w:rPr>
          <w:rFonts w:ascii="Times New Roman" w:eastAsia="Times New Roman" w:hAnsi="Times New Roman" w:cs="Times New Roman"/>
          <w:sz w:val="24"/>
          <w:szCs w:val="24"/>
        </w:rPr>
        <w:t>foglalkoztatottja</w:t>
      </w:r>
      <w:r>
        <w:rPr>
          <w:rFonts w:ascii="Times New Roman" w:hAnsi="Times New Roman" w:cs="Times New Roman"/>
          <w:sz w:val="24"/>
          <w:szCs w:val="24"/>
        </w:rPr>
        <w:t>, a</w:t>
      </w:r>
      <w:r w:rsidR="003717CE">
        <w:rPr>
          <w:rFonts w:ascii="Times New Roman" w:hAnsi="Times New Roman" w:cs="Times New Roman"/>
          <w:sz w:val="24"/>
          <w:szCs w:val="24"/>
        </w:rPr>
        <w:t>ki</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feladatainak ellátása </w:t>
      </w:r>
      <w:r>
        <w:rPr>
          <w:rFonts w:ascii="Times New Roman" w:eastAsia="Times New Roman" w:hAnsi="Times New Roman" w:cs="Times New Roman"/>
          <w:sz w:val="24"/>
          <w:szCs w:val="24"/>
        </w:rPr>
        <w:t>során személyes adatot kezel. Az adatfelelős m</w:t>
      </w:r>
      <w:r>
        <w:rPr>
          <w:rFonts w:ascii="Times New Roman" w:hAnsi="Times New Roman" w:cs="Times New Roman"/>
          <w:sz w:val="24"/>
          <w:szCs w:val="24"/>
        </w:rPr>
        <w:t xml:space="preserve">űködése során kezelt személyes </w:t>
      </w:r>
      <w:r>
        <w:rPr>
          <w:rFonts w:ascii="Times New Roman" w:eastAsia="Times New Roman" w:hAnsi="Times New Roman" w:cs="Times New Roman"/>
          <w:sz w:val="24"/>
          <w:szCs w:val="24"/>
        </w:rPr>
        <w:t xml:space="preserve">adatokra vonatkozóan gondoskodik az adatvédelmi szabályok megtartásáról.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2"/>
        </w:numPr>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hAnsi="Times New Roman" w:cs="Times New Roman"/>
          <w:sz w:val="24"/>
          <w:szCs w:val="24"/>
        </w:rPr>
        <w:t>z informatikai biztonsági felelős a Hivatalnál kijelölt személy,</w:t>
      </w:r>
      <w:r>
        <w:rPr>
          <w:rFonts w:ascii="Times New Roman" w:eastAsia="Times New Roman" w:hAnsi="Times New Roman" w:cs="Times New Roman"/>
          <w:sz w:val="24"/>
          <w:szCs w:val="24"/>
        </w:rPr>
        <w:t xml:space="preserve"> aki a belső IT rendszerek adatvédelméről, biztonságos üzemeltetéséről, a Hivatal informatikai ellenőrzési feladatairól gondoskodik.</w:t>
      </w:r>
      <w:r>
        <w:rPr>
          <w:rFonts w:ascii="Times New Roman" w:hAnsi="Times New Roman" w:cs="Times New Roman"/>
          <w:sz w:val="24"/>
          <w:szCs w:val="24"/>
        </w:rPr>
        <w:t xml:space="preserve"> Feladatkörébe tartozik a külső szerv által működtetett nyilvántartások, illetve szolgáltatások igénybevételével kapcsolatos informatikai biztonsági szempontok kezelése is.</w:t>
      </w: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Általános felelősségi kérdések</w:t>
      </w:r>
    </w:p>
    <w:p w:rsidR="00B44D85" w:rsidRDefault="00B44D85">
      <w:pPr>
        <w:pStyle w:val="Listaszerbekezds"/>
        <w:spacing w:after="0"/>
        <w:rPr>
          <w:rFonts w:ascii="Times New Roman" w:hAnsi="Times New Roman" w:cs="Times New Roman"/>
          <w:b/>
          <w:bCs/>
          <w:sz w:val="24"/>
          <w:szCs w:val="24"/>
        </w:rPr>
      </w:pPr>
    </w:p>
    <w:p w:rsidR="00B44D85" w:rsidRDefault="00B44D85" w:rsidP="00505A57">
      <w:pPr>
        <w:pStyle w:val="Listaszerbekezds"/>
        <w:spacing w:after="0"/>
        <w:ind w:left="0"/>
        <w:rPr>
          <w:rFonts w:ascii="Times New Roman" w:hAnsi="Times New Roman" w:cs="Times New Roman"/>
          <w:b/>
          <w:sz w:val="24"/>
          <w:szCs w:val="24"/>
        </w:rPr>
      </w:pPr>
    </w:p>
    <w:p w:rsidR="00B44D85" w:rsidRDefault="00B44D85">
      <w:pPr>
        <w:spacing w:after="0"/>
        <w:ind w:left="284" w:hanging="284"/>
        <w:jc w:val="both"/>
        <w:rPr>
          <w:rFonts w:ascii="Times New Roman" w:hAnsi="Times New Roman" w:cs="Times New Roman"/>
          <w:sz w:val="24"/>
          <w:szCs w:val="24"/>
        </w:rPr>
      </w:pPr>
    </w:p>
    <w:p w:rsidR="00B44D85" w:rsidRDefault="00F84976">
      <w:pPr>
        <w:pStyle w:val="Listaszerbekezds"/>
        <w:numPr>
          <w:ilvl w:val="0"/>
          <w:numId w:val="18"/>
        </w:numPr>
        <w:spacing w:after="0"/>
        <w:ind w:left="284" w:hanging="426"/>
        <w:jc w:val="both"/>
      </w:pPr>
      <w:r>
        <w:rPr>
          <w:rFonts w:ascii="Times New Roman" w:eastAsia="Times New Roman" w:hAnsi="Times New Roman" w:cs="Times New Roman"/>
          <w:sz w:val="24"/>
          <w:szCs w:val="24"/>
        </w:rPr>
        <w:t xml:space="preserve">A jogszabály által védett adatok – ide értve személyes adatokat is – kezelésével kapcsolatos szabályok betartásáról a Hivatal valamennyi foglalkoztatottja köteles gondoskodni.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8"/>
        </w:numPr>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adatkezelés és adatfeldolgozási műveletekre vonatkozó – általános érvényű – szabályzatok jogszerűségéért és betartatásáért a szervezet vezetője felel.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18"/>
        </w:numPr>
        <w:spacing w:after="0"/>
        <w:ind w:left="284"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foglalkoztatott, mint adatfeldolgozó tevékenységi körén belül felelős a személyes adatok feldolgozásáért, megváltoztatásáért, törléséért, továbbításáért és nyilvánosságra hozataláért, továbbá minden olyan jogsértésért, amit a mindenkor hatályos GDPR rendelet, az információs önrendelkezési jogról és az információszabadságról szóló törvény, valamint jelen Szabályzat rendelkezéseinek megszegésével okozott.</w:t>
      </w:r>
    </w:p>
    <w:p w:rsidR="003717CE" w:rsidRDefault="003717CE">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7" w:name="_Toc513465080"/>
      <w:r>
        <w:rPr>
          <w:rFonts w:cs="Times New Roman"/>
          <w:b/>
        </w:rPr>
        <w:t>Adatvédelmi incidens kezelése</w:t>
      </w:r>
      <w:bookmarkEnd w:id="7"/>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Az adatvédelmi incidens bejelentése</w:t>
      </w:r>
    </w:p>
    <w:p w:rsidR="00B44D85" w:rsidRDefault="00B44D85">
      <w:pPr>
        <w:spacing w:after="0"/>
        <w:jc w:val="center"/>
        <w:rPr>
          <w:rFonts w:ascii="Times New Roman" w:hAnsi="Times New Roman" w:cs="Times New Roman"/>
          <w:b/>
          <w:bCs/>
          <w:sz w:val="24"/>
          <w:szCs w:val="24"/>
        </w:rPr>
      </w:pPr>
    </w:p>
    <w:p w:rsidR="00B44D85" w:rsidRDefault="00B44D85" w:rsidP="00505A57">
      <w:pPr>
        <w:pStyle w:val="Listaszerbekezds"/>
        <w:spacing w:after="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GDPR rendelet 4. cikk 12. pontja szerinti adatvédelmi incidenst a Hivatal indokolatlan késedelem nélkül, és ha lehetséges, legkésőbb 72 órával azután, hogy az adatvédelmi incidens a tudomására jutott, bejelenti az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más szerv által vezetett nyilvántartás vagy működtetett szakrendszer esetében, amennyiben a Hivatal közös adatkezelőnek minősül, a Hivatal az érintett szervet értesíti, hogy az a szükséges adatokkal kiegészítve – abban az e</w:t>
      </w:r>
      <w:r w:rsidR="00A77953">
        <w:rPr>
          <w:rFonts w:ascii="Times New Roman" w:hAnsi="Times New Roman" w:cs="Times New Roman"/>
          <w:sz w:val="24"/>
          <w:szCs w:val="24"/>
        </w:rPr>
        <w:t xml:space="preserve">setben, ha szükségesnek véli – </w:t>
      </w:r>
      <w:r>
        <w:rPr>
          <w:rFonts w:ascii="Times New Roman" w:hAnsi="Times New Roman" w:cs="Times New Roman"/>
          <w:sz w:val="24"/>
          <w:szCs w:val="24"/>
        </w:rPr>
        <w:t>a felügyeleti hatóság értesítését megtehesse.</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a foglalkoztatott, aki a személyes adatokkal kapcsolatban adatvédelmi incidenst észlel, így különösen a biztonság olyan sérülését, amely a továbbított, tárolt vagy más módon kezelt személyes adatok véletlen vagy jogellenes megsemmisítését, elvesztését, megváltoztatását, jogosulatlan közlését vagy az azokhoz való jogosulatlan hozzáférést eredményezi; köteles azt a közvetlen vezetője útján haladéktalanul az adatvédelmi tisztviselőnek bejelenteni.</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Amennyiben az adatvédelmi incidens informatikai rendszert érintően következett be, arról haladéktalanul tájékoztatni kell az 1. melléklet megküldésével az informatikai biztonsági felelőst.</w:t>
      </w:r>
    </w:p>
    <w:p w:rsidR="00B44D85" w:rsidRDefault="00B44D85">
      <w:pPr>
        <w:pStyle w:val="Listaszerbekezds"/>
        <w:spacing w:after="0"/>
        <w:ind w:left="578"/>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adatvédelmi incidensről szóló bejelentésben az 1. melléklet alapján:</w:t>
      </w:r>
    </w:p>
    <w:p w:rsidR="00B44D85" w:rsidRDefault="00F84976">
      <w:pPr>
        <w:pStyle w:val="Listaszerbekezds"/>
        <w:numPr>
          <w:ilvl w:val="1"/>
          <w:numId w:val="6"/>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 xml:space="preserve">ismertetni kell az adatvédelmi incidens jellegét, beleértve – ha lehetséges – az érintettek kategóriáit és hozzávetőleges számát, valamint az incidenssel érintett adatok kategóriáit és hozzávetőleges számát; </w:t>
      </w:r>
    </w:p>
    <w:p w:rsidR="00B44D85" w:rsidRDefault="00F84976">
      <w:pPr>
        <w:pStyle w:val="Listaszerbekezds"/>
        <w:numPr>
          <w:ilvl w:val="1"/>
          <w:numId w:val="6"/>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 xml:space="preserve">közölni kell az adatvédelmi tisztviselő vagy a további tájékoztatást nyújtó egyéb kapcsolattartó nevét és elérhetőségeit; </w:t>
      </w:r>
    </w:p>
    <w:p w:rsidR="00B44D85" w:rsidRDefault="00F84976">
      <w:pPr>
        <w:pStyle w:val="Listaszerbekezds"/>
        <w:numPr>
          <w:ilvl w:val="1"/>
          <w:numId w:val="6"/>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 xml:space="preserve">ismertetni kell az adatvédelmi incidensből eredő, valószínűsíthető következményeket; </w:t>
      </w:r>
    </w:p>
    <w:p w:rsidR="00B44D85" w:rsidRDefault="00F84976">
      <w:pPr>
        <w:pStyle w:val="Listaszerbekezds"/>
        <w:numPr>
          <w:ilvl w:val="1"/>
          <w:numId w:val="6"/>
        </w:numPr>
        <w:spacing w:after="0"/>
        <w:ind w:left="993" w:hanging="284"/>
        <w:jc w:val="both"/>
        <w:rPr>
          <w:rFonts w:ascii="Times New Roman" w:hAnsi="Times New Roman" w:cs="Times New Roman"/>
          <w:sz w:val="24"/>
          <w:szCs w:val="24"/>
        </w:rPr>
      </w:pPr>
      <w:r>
        <w:rPr>
          <w:rFonts w:ascii="Times New Roman" w:hAnsi="Times New Roman" w:cs="Times New Roman"/>
          <w:sz w:val="24"/>
          <w:szCs w:val="24"/>
        </w:rPr>
        <w:t xml:space="preserve">ismertetni kell az adatkezelő által az adatvédelmi incidens orvoslására tett vagy tervezett intézkedéseket, beleértve adott esetben az adatvédelmi incidensből eredő esetleges hátrányos következmények enyhítését célzó intézkedéseket. </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6"/>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Hivatal az adatvédelmi incidensekről nyilvántartást vezet, feltüntetve az adatvédelmi incidenshez kapcsolódó tényeket, annak hatásait és az orvoslására tett intézkedéseket. </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Az érintett tájékoztatása az adatvédelmi incidensről </w:t>
      </w:r>
    </w:p>
    <w:p w:rsidR="00B44D85" w:rsidRDefault="00B44D85">
      <w:pPr>
        <w:pStyle w:val="Listaszerbekezds"/>
        <w:spacing w:after="0"/>
        <w:rPr>
          <w:rFonts w:ascii="Times New Roman" w:hAnsi="Times New Roman" w:cs="Times New Roman"/>
          <w:b/>
          <w:bCs/>
          <w:sz w:val="24"/>
          <w:szCs w:val="24"/>
        </w:rPr>
      </w:pPr>
    </w:p>
    <w:p w:rsidR="00B44D85" w:rsidRDefault="00B44D85" w:rsidP="00505A57">
      <w:pPr>
        <w:pStyle w:val="Listaszerbekezds"/>
        <w:spacing w:after="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2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Ha az adatvédelmi incidens valószínűsíthetően magas kockázattal jár a természetes személyek jogaira és szabadságaira nézve, a Hivatal indokolatlan késedelem nélkül tájékoztatja az érintettet az adatvédelmi incidensről.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Az érintett részére adott tájékoztatásban világosan és közérthetően ismertetni kell az adatvédelmi incidens jellegét, és közölni kell legalább </w:t>
      </w:r>
    </w:p>
    <w:p w:rsidR="00B44D85" w:rsidRDefault="00F84976">
      <w:pPr>
        <w:pStyle w:val="Listaszerbekezds"/>
        <w:numPr>
          <w:ilvl w:val="0"/>
          <w:numId w:val="28"/>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az adatvédelmi tisztviselő vagy a további tájékoztatást nyújtó egyéb kapcsolattartó nevét és elérhetőségeit;</w:t>
      </w:r>
    </w:p>
    <w:p w:rsidR="00B44D85" w:rsidRDefault="00F84976">
      <w:pPr>
        <w:pStyle w:val="Listaszerbekezds"/>
        <w:numPr>
          <w:ilvl w:val="0"/>
          <w:numId w:val="28"/>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az adatvédelmi incidensből eredő, valószínűsíthető következményeket;</w:t>
      </w:r>
    </w:p>
    <w:p w:rsidR="00B44D85" w:rsidRDefault="00F84976">
      <w:pPr>
        <w:pStyle w:val="Listaszerbekezds"/>
        <w:numPr>
          <w:ilvl w:val="0"/>
          <w:numId w:val="28"/>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az adatvédelmi incidens orvoslására tett vagy tervezett intézkedéseket, adott esetben az adatvédelmi incidensből eredő esetleges hátrányos következmények enyhítését célzó intézkedéseket.</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27"/>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Az érintettet nem kell az adatvédelmi incidensről tájékoztatni, ha a következő feltételek bármelyike teljesül: </w:t>
      </w:r>
    </w:p>
    <w:p w:rsidR="00B44D85" w:rsidRDefault="00F84976">
      <w:pPr>
        <w:pStyle w:val="Listaszerbekezds"/>
        <w:numPr>
          <w:ilvl w:val="0"/>
          <w:numId w:val="29"/>
        </w:numPr>
        <w:tabs>
          <w:tab w:val="left" w:pos="1134"/>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 xml:space="preserve">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 </w:t>
      </w:r>
    </w:p>
    <w:p w:rsidR="00B44D85" w:rsidRDefault="00F84976">
      <w:pPr>
        <w:pStyle w:val="Listaszerbekezds"/>
        <w:numPr>
          <w:ilvl w:val="0"/>
          <w:numId w:val="29"/>
        </w:numPr>
        <w:tabs>
          <w:tab w:val="left" w:pos="1134"/>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 xml:space="preserve">az adatkezelő az adatvédelmi incidenst követően olyan további intézkedéseket tett, amelyek biztosítják, hogy az érintett jogaira és szabadságaira jelentett magas kockázat a továbbiakban valószínűsíthetően nem valósul meg; </w:t>
      </w:r>
    </w:p>
    <w:p w:rsidR="00B44D85" w:rsidRDefault="00F84976">
      <w:pPr>
        <w:pStyle w:val="Listaszerbekezds"/>
        <w:numPr>
          <w:ilvl w:val="0"/>
          <w:numId w:val="29"/>
        </w:numPr>
        <w:tabs>
          <w:tab w:val="left" w:pos="1134"/>
        </w:tabs>
        <w:spacing w:after="0"/>
        <w:ind w:left="1134" w:hanging="283"/>
        <w:jc w:val="both"/>
        <w:rPr>
          <w:rFonts w:ascii="Times New Roman" w:hAnsi="Times New Roman" w:cs="Times New Roman"/>
          <w:sz w:val="24"/>
          <w:szCs w:val="24"/>
        </w:rPr>
      </w:pPr>
      <w:r>
        <w:rPr>
          <w:rFonts w:ascii="Times New Roman" w:hAnsi="Times New Roman" w:cs="Times New Roman"/>
          <w:sz w:val="24"/>
          <w:szCs w:val="24"/>
        </w:rPr>
        <w:t xml:space="preserve">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 </w:t>
      </w:r>
    </w:p>
    <w:p w:rsidR="00677FF4" w:rsidRDefault="00677FF4">
      <w:pPr>
        <w:spacing w:after="0"/>
        <w:jc w:val="both"/>
        <w:rPr>
          <w:rFonts w:ascii="Times New Roman" w:hAnsi="Times New Roman" w:cs="Times New Roman"/>
          <w:sz w:val="24"/>
          <w:szCs w:val="24"/>
        </w:rPr>
      </w:pPr>
    </w:p>
    <w:p w:rsidR="00677FF4" w:rsidRDefault="00677FF4">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8" w:name="_Toc513465081"/>
      <w:r>
        <w:rPr>
          <w:rFonts w:cs="Times New Roman"/>
          <w:b/>
        </w:rPr>
        <w:t>Adatkezeléssel kapcsolatos kérelmek</w:t>
      </w:r>
      <w:bookmarkEnd w:id="8"/>
      <w:r>
        <w:rPr>
          <w:rFonts w:cs="Times New Roman"/>
          <w:b/>
        </w:rPr>
        <w:t xml:space="preserve"> </w:t>
      </w: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Tájékoztatás formája</w:t>
      </w:r>
    </w:p>
    <w:p w:rsidR="00B44D85" w:rsidRDefault="00B44D85">
      <w:pPr>
        <w:spacing w:after="0"/>
        <w:jc w:val="both"/>
        <w:rPr>
          <w:rFonts w:ascii="Times New Roman" w:hAnsi="Times New Roman" w:cs="Times New Roman"/>
          <w:sz w:val="24"/>
          <w:szCs w:val="24"/>
        </w:rPr>
      </w:pPr>
    </w:p>
    <w:p w:rsidR="00B44D85" w:rsidRDefault="00B44D85" w:rsidP="00505A57">
      <w:pPr>
        <w:pStyle w:val="Listaszerbekezds"/>
        <w:spacing w:after="0"/>
        <w:rPr>
          <w:rFonts w:ascii="Times New Roman" w:hAnsi="Times New Roman" w:cs="Times New Roman"/>
          <w:b/>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adatkezelésre vonatkozó általános tájékoztató nyilvános, az a</w:t>
      </w:r>
      <w:r w:rsidR="00677FF4">
        <w:rPr>
          <w:rFonts w:ascii="Times New Roman" w:hAnsi="Times New Roman" w:cs="Times New Roman"/>
          <w:sz w:val="24"/>
          <w:szCs w:val="24"/>
        </w:rPr>
        <w:t>z</w:t>
      </w:r>
      <w:r>
        <w:rPr>
          <w:rFonts w:ascii="Times New Roman" w:hAnsi="Times New Roman" w:cs="Times New Roman"/>
          <w:sz w:val="24"/>
          <w:szCs w:val="24"/>
        </w:rPr>
        <w:t xml:space="preserve"> </w:t>
      </w:r>
      <w:r w:rsidR="00677FF4">
        <w:rPr>
          <w:rFonts w:ascii="Times New Roman" w:hAnsi="Times New Roman" w:cs="Times New Roman"/>
          <w:sz w:val="24"/>
          <w:szCs w:val="24"/>
        </w:rPr>
        <w:t>önkormányzat</w:t>
      </w:r>
      <w:r>
        <w:rPr>
          <w:rFonts w:ascii="Times New Roman" w:hAnsi="Times New Roman" w:cs="Times New Roman"/>
          <w:sz w:val="24"/>
          <w:szCs w:val="24"/>
        </w:rPr>
        <w:t xml:space="preserve"> honlapján hozzáférhető. </w:t>
      </w:r>
    </w:p>
    <w:p w:rsidR="00B44D85" w:rsidRDefault="00B44D85">
      <w:pPr>
        <w:pStyle w:val="Listaszerbekezds"/>
        <w:spacing w:after="0"/>
        <w:ind w:left="284"/>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Hivatal a személyes adatok kezelésére vonatkozó tájékoztatását a</w:t>
      </w:r>
      <w:r w:rsidR="00677FF4">
        <w:rPr>
          <w:rFonts w:ascii="Times New Roman" w:hAnsi="Times New Roman" w:cs="Times New Roman"/>
          <w:sz w:val="24"/>
          <w:szCs w:val="24"/>
        </w:rPr>
        <w:t>z</w:t>
      </w:r>
      <w:r>
        <w:rPr>
          <w:rFonts w:ascii="Times New Roman" w:hAnsi="Times New Roman" w:cs="Times New Roman"/>
          <w:sz w:val="24"/>
          <w:szCs w:val="24"/>
        </w:rPr>
        <w:t xml:space="preserve"> </w:t>
      </w:r>
      <w:r w:rsidR="00677FF4">
        <w:rPr>
          <w:rFonts w:ascii="Times New Roman" w:hAnsi="Times New Roman" w:cs="Times New Roman"/>
          <w:sz w:val="24"/>
          <w:szCs w:val="24"/>
        </w:rPr>
        <w:t>önkormányzat</w:t>
      </w:r>
      <w:r>
        <w:rPr>
          <w:rFonts w:ascii="Times New Roman" w:hAnsi="Times New Roman" w:cs="Times New Roman"/>
          <w:sz w:val="24"/>
          <w:szCs w:val="24"/>
        </w:rPr>
        <w:t xml:space="preserve"> honlapján teszi közzé. Az e módon közzétett tájékoztató a GDPR rendelet 13. cikk (4) bekezdése, illetve 14. cikk (5) a) pontja szerint az érintett által ismertnek tekintendő.</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Az érintettet megilleti az a jog, hogy személyes adatai kezeléséről tájékoztatást kérjen. Az adatkezelésre vonatkozó kérelmeket – a jogszabályi feltételek fennállása esetén – legfeljebb 30 napon belül, de lehetőség szerint soron kívül kell teljesíteni. Személyes adatkezelésre vonatkozó egyedi információ csak az érintett személy részére adható.</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Hivatal az adatkezelés tárgyát képező személyes adatok elektronikus vagy papír másolatát első kérésekor egy példányban díjfizetés nélkül az érintett rendelkezésére bocsátja.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Az érintett egy hónapon belüli ismételt kérésekor, vagy általa kért további papír másolatokért az adatkezelő az adminisztratív költségeken alapuló díjat számít fel.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Elektronikus kapcsolattartásnál a Hivatal PDF formátumú dokumentumban küldi meg a válaszát.</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30"/>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Hivatal mindazon adatkezeléseknél, ahol az informatikai háttér a szükséges adatokat tartalmazza, az adatkezelésre vonatkozó tájékoztatást az informatikai rendszerben rögzített adatok alapján teszi meg, külön nyilvántartást nem vezet. Az adatkezelésre, különösen az adattovábbításra vonatkozó nyilvántartásnak minősül:</w:t>
      </w:r>
    </w:p>
    <w:p w:rsidR="00B44D85" w:rsidRDefault="00F84976">
      <w:pPr>
        <w:pStyle w:val="Listaszerbekezds"/>
        <w:numPr>
          <w:ilvl w:val="0"/>
          <w:numId w:val="31"/>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az elektronikus iktató rendszer az irat formában történő adattovábbítás tekintetében</w:t>
      </w:r>
    </w:p>
    <w:p w:rsidR="00B44D85" w:rsidRDefault="00F84976">
      <w:pPr>
        <w:pStyle w:val="Listaszerbekezds"/>
        <w:numPr>
          <w:ilvl w:val="0"/>
          <w:numId w:val="31"/>
        </w:num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 xml:space="preserve">az alkalmazási programok napló adatai, az alkalmazás keretében történ adatkezelés tekintetében. </w:t>
      </w:r>
    </w:p>
    <w:p w:rsidR="00B44D85" w:rsidRDefault="00B44D85">
      <w:pPr>
        <w:spacing w:after="0"/>
        <w:jc w:val="both"/>
        <w:rPr>
          <w:rFonts w:ascii="Times New Roman" w:hAnsi="Times New Roman" w:cs="Times New Roman"/>
          <w:sz w:val="24"/>
          <w:szCs w:val="24"/>
        </w:rPr>
      </w:pPr>
    </w:p>
    <w:p w:rsidR="00677FF4" w:rsidRDefault="00677FF4">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9" w:name="_Toc513465082"/>
      <w:r>
        <w:rPr>
          <w:rFonts w:cs="Times New Roman"/>
          <w:b/>
        </w:rPr>
        <w:t>Személyes adatnak nem minősülő adatok kezelése</w:t>
      </w:r>
      <w:bookmarkEnd w:id="9"/>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1"/>
        </w:numPr>
        <w:spacing w:after="0"/>
        <w:ind w:left="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Védendő adat kezelése</w:t>
      </w:r>
    </w:p>
    <w:p w:rsidR="00B44D85" w:rsidRDefault="00B44D85">
      <w:pPr>
        <w:spacing w:after="0"/>
        <w:jc w:val="center"/>
        <w:rPr>
          <w:rFonts w:ascii="Times New Roman" w:hAnsi="Times New Roman" w:cs="Times New Roman"/>
          <w:b/>
          <w:bCs/>
          <w:sz w:val="24"/>
          <w:szCs w:val="24"/>
        </w:rPr>
      </w:pPr>
    </w:p>
    <w:p w:rsidR="00B44D85" w:rsidRDefault="00B44D85" w:rsidP="00505A57">
      <w:pPr>
        <w:pStyle w:val="Listaszerbekezds"/>
        <w:spacing w:after="0"/>
        <w:rPr>
          <w:rFonts w:ascii="Times New Roman" w:hAnsi="Times New Roman" w:cs="Times New Roman"/>
          <w:b/>
          <w:bCs/>
          <w:sz w:val="24"/>
          <w:szCs w:val="24"/>
        </w:rPr>
      </w:pPr>
    </w:p>
    <w:p w:rsidR="00B44D85" w:rsidRDefault="00B44D85">
      <w:pPr>
        <w:spacing w:after="0"/>
        <w:jc w:val="both"/>
        <w:rPr>
          <w:rFonts w:ascii="Times New Roman" w:hAnsi="Times New Roman" w:cs="Times New Roman"/>
          <w:sz w:val="24"/>
          <w:szCs w:val="24"/>
        </w:rPr>
      </w:pPr>
    </w:p>
    <w:p w:rsidR="00B44D85" w:rsidRDefault="00F84976">
      <w:pPr>
        <w:pStyle w:val="Listaszerbekezds"/>
        <w:numPr>
          <w:ilvl w:val="0"/>
          <w:numId w:val="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Személyes adatnak nem minősülő, de más okból (különösen üzleti titkot képező) nem nyilvános adat (a továbbiakban: nem nyilvános adat) kezelésére a személyes adat kezelésére vonatkozó szabályokat kell alkalmazni a jelen fejezet szerinti eltérésekkel.</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A nem nyilvános adatok kezelésére </w:t>
      </w:r>
    </w:p>
    <w:p w:rsidR="00B44D85" w:rsidRDefault="00F84976">
      <w:pPr>
        <w:pStyle w:val="Listaszerbekezds"/>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nem értelmezett a tiltakozási, hozzáférési, korlátozási jog,</w:t>
      </w:r>
    </w:p>
    <w:p w:rsidR="00B44D85" w:rsidRDefault="00F84976">
      <w:pPr>
        <w:pStyle w:val="Listaszerbekezds"/>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nem kapcsolódik hozzá tájékoztatási kötelezettség,</w:t>
      </w:r>
    </w:p>
    <w:p w:rsidR="00B44D85" w:rsidRDefault="00F84976">
      <w:pPr>
        <w:pStyle w:val="Listaszerbekezds"/>
        <w:numPr>
          <w:ilvl w:val="0"/>
          <w:numId w:val="10"/>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az adatkezelésről - ha külön jogszabály másként nem rendelkezik - nyilvántartást nem kell vezetni.</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9"/>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nem nyilvános adatokkal kapcsolatos adatvédelmi incidens esetén</w:t>
      </w:r>
    </w:p>
    <w:p w:rsidR="00B44D85" w:rsidRDefault="00F84976">
      <w:pPr>
        <w:pStyle w:val="Listaszerbekezds"/>
        <w:numPr>
          <w:ilvl w:val="0"/>
          <w:numId w:val="11"/>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hálózaton keresztül bekövetkezett incidens esetén a külön jogszabály szerint a hálózatbiztonsági központ értesítendő,</w:t>
      </w:r>
    </w:p>
    <w:p w:rsidR="00B44D85" w:rsidRDefault="00F84976">
      <w:pPr>
        <w:pStyle w:val="Listaszerbekezds"/>
        <w:numPr>
          <w:ilvl w:val="0"/>
          <w:numId w:val="11"/>
        </w:numPr>
        <w:spacing w:after="0"/>
        <w:ind w:left="1134" w:hanging="283"/>
        <w:jc w:val="both"/>
        <w:rPr>
          <w:rFonts w:ascii="Times New Roman" w:hAnsi="Times New Roman" w:cs="Times New Roman"/>
          <w:sz w:val="24"/>
          <w:szCs w:val="24"/>
        </w:rPr>
      </w:pPr>
      <w:r>
        <w:rPr>
          <w:rFonts w:ascii="Times New Roman" w:hAnsi="Times New Roman" w:cs="Times New Roman"/>
          <w:sz w:val="24"/>
          <w:szCs w:val="24"/>
        </w:rPr>
        <w:t>üzleti tiktok illetéktelen tudomására jutása esetén az érintettet is értesíteni kell, amennyiben ez lehetséges.</w:t>
      </w:r>
    </w:p>
    <w:p w:rsidR="00B44D85" w:rsidRDefault="00B44D85">
      <w:pPr>
        <w:spacing w:after="0"/>
        <w:ind w:left="284" w:hanging="284"/>
        <w:jc w:val="both"/>
        <w:rPr>
          <w:rFonts w:ascii="Times New Roman" w:hAnsi="Times New Roman" w:cs="Times New Roman"/>
          <w:sz w:val="24"/>
          <w:szCs w:val="24"/>
        </w:rPr>
      </w:pPr>
    </w:p>
    <w:p w:rsidR="00B44D85" w:rsidRDefault="00B44D85">
      <w:pPr>
        <w:spacing w:after="0"/>
        <w:ind w:left="284" w:hanging="284"/>
        <w:jc w:val="both"/>
        <w:rPr>
          <w:rFonts w:ascii="Times New Roman" w:hAnsi="Times New Roman" w:cs="Times New Roman"/>
          <w:sz w:val="24"/>
          <w:szCs w:val="24"/>
        </w:rPr>
      </w:pPr>
    </w:p>
    <w:p w:rsidR="000B344B" w:rsidRDefault="000B344B">
      <w:pPr>
        <w:spacing w:after="0"/>
        <w:ind w:left="284" w:hanging="284"/>
        <w:jc w:val="both"/>
        <w:rPr>
          <w:rFonts w:ascii="Times New Roman" w:hAnsi="Times New Roman" w:cs="Times New Roman"/>
          <w:sz w:val="24"/>
          <w:szCs w:val="24"/>
        </w:rPr>
      </w:pPr>
    </w:p>
    <w:p w:rsidR="000B344B" w:rsidRDefault="000B344B">
      <w:pPr>
        <w:spacing w:after="0"/>
        <w:ind w:left="284" w:hanging="284"/>
        <w:jc w:val="both"/>
        <w:rPr>
          <w:rFonts w:ascii="Times New Roman" w:hAnsi="Times New Roman" w:cs="Times New Roman"/>
          <w:sz w:val="24"/>
          <w:szCs w:val="24"/>
        </w:rPr>
      </w:pPr>
    </w:p>
    <w:p w:rsidR="00CE3B4F" w:rsidRDefault="00CE3B4F">
      <w:pPr>
        <w:spacing w:after="0"/>
        <w:ind w:left="284" w:hanging="284"/>
        <w:jc w:val="both"/>
        <w:rPr>
          <w:rFonts w:ascii="Times New Roman" w:hAnsi="Times New Roman" w:cs="Times New Roman"/>
          <w:sz w:val="24"/>
          <w:szCs w:val="24"/>
        </w:rPr>
      </w:pPr>
    </w:p>
    <w:p w:rsidR="00CE3B4F" w:rsidRDefault="00CE3B4F">
      <w:pPr>
        <w:spacing w:after="0"/>
        <w:ind w:left="284" w:hanging="284"/>
        <w:jc w:val="both"/>
        <w:rPr>
          <w:rFonts w:ascii="Times New Roman" w:hAnsi="Times New Roman" w:cs="Times New Roman"/>
          <w:sz w:val="24"/>
          <w:szCs w:val="24"/>
        </w:rPr>
      </w:pPr>
    </w:p>
    <w:p w:rsidR="00CE3B4F" w:rsidRDefault="00CE3B4F">
      <w:pPr>
        <w:spacing w:after="0"/>
        <w:ind w:left="284" w:hanging="284"/>
        <w:jc w:val="both"/>
        <w:rPr>
          <w:rFonts w:ascii="Times New Roman" w:hAnsi="Times New Roman" w:cs="Times New Roman"/>
          <w:sz w:val="24"/>
          <w:szCs w:val="24"/>
        </w:rPr>
      </w:pPr>
    </w:p>
    <w:p w:rsidR="000B344B" w:rsidRDefault="000B344B">
      <w:pPr>
        <w:spacing w:after="0"/>
        <w:ind w:left="284" w:hanging="284"/>
        <w:jc w:val="both"/>
        <w:rPr>
          <w:rFonts w:ascii="Times New Roman" w:hAnsi="Times New Roman" w:cs="Times New Roman"/>
          <w:sz w:val="24"/>
          <w:szCs w:val="24"/>
        </w:rPr>
      </w:pPr>
    </w:p>
    <w:p w:rsidR="000B344B" w:rsidRDefault="000B344B">
      <w:pPr>
        <w:spacing w:after="0"/>
        <w:ind w:left="284" w:hanging="284"/>
        <w:jc w:val="both"/>
        <w:rPr>
          <w:rFonts w:ascii="Times New Roman" w:hAnsi="Times New Roman" w:cs="Times New Roman"/>
          <w:sz w:val="24"/>
          <w:szCs w:val="24"/>
        </w:rPr>
      </w:pPr>
    </w:p>
    <w:p w:rsidR="000B344B" w:rsidRDefault="000B344B">
      <w:pPr>
        <w:spacing w:after="0"/>
        <w:ind w:left="284" w:hanging="284"/>
        <w:jc w:val="both"/>
        <w:rPr>
          <w:rFonts w:ascii="Times New Roman" w:hAnsi="Times New Roman" w:cs="Times New Roman"/>
          <w:sz w:val="24"/>
          <w:szCs w:val="24"/>
        </w:rPr>
      </w:pPr>
    </w:p>
    <w:p w:rsidR="00B44D85" w:rsidRDefault="00F84976">
      <w:pPr>
        <w:pStyle w:val="Listaszerbekezds"/>
        <w:numPr>
          <w:ilvl w:val="0"/>
          <w:numId w:val="15"/>
        </w:numPr>
        <w:jc w:val="center"/>
        <w:rPr>
          <w:rFonts w:ascii="Times New Roman" w:hAnsi="Times New Roman" w:cs="Times New Roman"/>
          <w:b/>
          <w:sz w:val="28"/>
          <w:szCs w:val="28"/>
        </w:rPr>
      </w:pPr>
      <w:r>
        <w:rPr>
          <w:rFonts w:ascii="Times New Roman" w:hAnsi="Times New Roman" w:cs="Times New Roman"/>
          <w:b/>
          <w:sz w:val="28"/>
          <w:szCs w:val="28"/>
        </w:rPr>
        <w:t>FEJEZET</w:t>
      </w:r>
    </w:p>
    <w:p w:rsidR="00B44D85" w:rsidRDefault="00F84976">
      <w:pPr>
        <w:pStyle w:val="Cmsor11"/>
        <w:spacing w:before="120" w:after="200"/>
        <w:rPr>
          <w:rFonts w:cs="Times New Roman"/>
          <w:b/>
        </w:rPr>
      </w:pPr>
      <w:bookmarkStart w:id="10" w:name="_Toc513465083"/>
      <w:r>
        <w:rPr>
          <w:rFonts w:cs="Times New Roman"/>
          <w:b/>
        </w:rPr>
        <w:t>Záró rendelkezések</w:t>
      </w:r>
      <w:bookmarkEnd w:id="10"/>
    </w:p>
    <w:p w:rsidR="00B44D85" w:rsidRDefault="00B44D85"/>
    <w:p w:rsidR="00B44D85" w:rsidRDefault="00B44D85" w:rsidP="00505A57">
      <w:pPr>
        <w:pStyle w:val="Listaszerbekezds"/>
        <w:spacing w:after="0"/>
        <w:rPr>
          <w:rFonts w:cs="Times New Roman"/>
          <w:b/>
          <w:sz w:val="24"/>
          <w:szCs w:val="24"/>
        </w:rPr>
      </w:pPr>
    </w:p>
    <w:p w:rsidR="00B44D85" w:rsidRDefault="00B44D85">
      <w:pPr>
        <w:spacing w:after="0"/>
        <w:jc w:val="both"/>
        <w:rPr>
          <w:rFonts w:ascii="Times New Roman" w:eastAsiaTheme="majorEastAsia" w:hAnsi="Times New Roman" w:cs="Times New Roman"/>
          <w:b/>
          <w:sz w:val="24"/>
          <w:szCs w:val="32"/>
        </w:rPr>
      </w:pPr>
    </w:p>
    <w:p w:rsidR="00B44D85" w:rsidRDefault="00F84976">
      <w:pPr>
        <w:pStyle w:val="Listaszerbekezds"/>
        <w:numPr>
          <w:ilvl w:val="0"/>
          <w:numId w:val="8"/>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 xml:space="preserve">Jelen Szabályzat a közzétételét követő napon lép hatályba. </w:t>
      </w:r>
    </w:p>
    <w:p w:rsidR="00B44D85" w:rsidRDefault="00B44D85">
      <w:pPr>
        <w:spacing w:after="0"/>
        <w:ind w:left="284" w:hanging="426"/>
        <w:jc w:val="both"/>
        <w:rPr>
          <w:rFonts w:ascii="Times New Roman" w:hAnsi="Times New Roman" w:cs="Times New Roman"/>
          <w:sz w:val="24"/>
          <w:szCs w:val="24"/>
        </w:rPr>
      </w:pPr>
    </w:p>
    <w:p w:rsidR="00B44D85" w:rsidRDefault="00F84976">
      <w:pPr>
        <w:pStyle w:val="Listaszerbekezds"/>
        <w:numPr>
          <w:ilvl w:val="0"/>
          <w:numId w:val="8"/>
        </w:numPr>
        <w:spacing w:after="0"/>
        <w:ind w:left="284" w:hanging="426"/>
        <w:jc w:val="both"/>
        <w:rPr>
          <w:rFonts w:ascii="Times New Roman" w:hAnsi="Times New Roman" w:cs="Times New Roman"/>
          <w:sz w:val="24"/>
          <w:szCs w:val="24"/>
        </w:rPr>
      </w:pPr>
      <w:r>
        <w:rPr>
          <w:rFonts w:ascii="Times New Roman" w:hAnsi="Times New Roman" w:cs="Times New Roman"/>
          <w:sz w:val="24"/>
          <w:szCs w:val="24"/>
        </w:rPr>
        <w:t>A Szabályzat felülvizsgálatáért és módosításáért a jegyző a felelős.</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655C96">
      <w:pPr>
        <w:spacing w:after="0"/>
        <w:jc w:val="both"/>
        <w:rPr>
          <w:rFonts w:ascii="Times New Roman" w:hAnsi="Times New Roman" w:cs="Times New Roman"/>
          <w:sz w:val="24"/>
          <w:szCs w:val="24"/>
        </w:rPr>
      </w:pPr>
      <w:r>
        <w:rPr>
          <w:rFonts w:ascii="Times New Roman" w:hAnsi="Times New Roman" w:cs="Times New Roman"/>
          <w:sz w:val="24"/>
          <w:szCs w:val="24"/>
        </w:rPr>
        <w:t>Ibrány</w:t>
      </w:r>
      <w:r w:rsidR="00F84976">
        <w:rPr>
          <w:rFonts w:ascii="Times New Roman" w:hAnsi="Times New Roman" w:cs="Times New Roman"/>
          <w:sz w:val="24"/>
          <w:szCs w:val="24"/>
        </w:rPr>
        <w:t>, 2019</w:t>
      </w:r>
      <w:r w:rsidR="00CE3B4F">
        <w:rPr>
          <w:rFonts w:ascii="Times New Roman" w:hAnsi="Times New Roman" w:cs="Times New Roman"/>
          <w:sz w:val="24"/>
          <w:szCs w:val="24"/>
        </w:rPr>
        <w:t>. július 10</w:t>
      </w:r>
      <w:r w:rsidR="00F84976">
        <w:rPr>
          <w:rFonts w:ascii="Times New Roman" w:hAnsi="Times New Roman" w:cs="Times New Roman"/>
          <w:sz w:val="24"/>
          <w:szCs w:val="24"/>
        </w:rPr>
        <w:t>.</w:t>
      </w:r>
    </w:p>
    <w:p w:rsidR="00B44D85" w:rsidRDefault="00B44D85">
      <w:pPr>
        <w:spacing w:after="0"/>
        <w:jc w:val="both"/>
        <w:rPr>
          <w:rFonts w:ascii="Times New Roman" w:hAnsi="Times New Roman" w:cs="Times New Roman"/>
          <w:sz w:val="24"/>
          <w:szCs w:val="24"/>
        </w:rPr>
      </w:pPr>
    </w:p>
    <w:p w:rsidR="00B44D85" w:rsidRDefault="00B44D85">
      <w:pPr>
        <w:spacing w:after="0"/>
        <w:jc w:val="both"/>
        <w:rPr>
          <w:rFonts w:ascii="Times New Roman" w:hAnsi="Times New Roman" w:cs="Times New Roman"/>
          <w:sz w:val="24"/>
          <w:szCs w:val="24"/>
        </w:rPr>
      </w:pPr>
    </w:p>
    <w:p w:rsidR="00B44D85" w:rsidRDefault="00F8497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3B4F">
        <w:rPr>
          <w:rFonts w:ascii="Times New Roman" w:hAnsi="Times New Roman" w:cs="Times New Roman"/>
          <w:sz w:val="24"/>
          <w:szCs w:val="24"/>
        </w:rPr>
        <w:t>Bakosiné Márton Mária</w:t>
      </w:r>
    </w:p>
    <w:p w:rsidR="00B44D85" w:rsidRDefault="00F84976">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jegyző</w:t>
      </w:r>
      <w:r>
        <w:br w:type="page"/>
      </w:r>
    </w:p>
    <w:p w:rsidR="00B44D85" w:rsidRDefault="00F84976">
      <w:pPr>
        <w:spacing w:after="0"/>
        <w:jc w:val="right"/>
        <w:rPr>
          <w:rFonts w:ascii="Times New Roman" w:hAnsi="Times New Roman" w:cs="Times New Roman"/>
          <w:sz w:val="24"/>
          <w:szCs w:val="24"/>
        </w:rPr>
      </w:pPr>
      <w:r>
        <w:rPr>
          <w:rFonts w:ascii="Times New Roman" w:hAnsi="Times New Roman" w:cs="Times New Roman"/>
          <w:sz w:val="24"/>
          <w:szCs w:val="24"/>
        </w:rPr>
        <w:t xml:space="preserve">1. melléklet </w:t>
      </w:r>
    </w:p>
    <w:p w:rsidR="00B44D85" w:rsidRDefault="00B44D85">
      <w:pPr>
        <w:spacing w:after="0"/>
        <w:jc w:val="both"/>
        <w:rPr>
          <w:rFonts w:ascii="Times New Roman" w:hAnsi="Times New Roman" w:cs="Times New Roman"/>
          <w:sz w:val="24"/>
          <w:szCs w:val="24"/>
        </w:rPr>
      </w:pPr>
    </w:p>
    <w:p w:rsidR="00B44D85" w:rsidRDefault="00F84976">
      <w:pPr>
        <w:spacing w:after="0"/>
        <w:jc w:val="center"/>
        <w:rPr>
          <w:rFonts w:ascii="Times New Roman" w:hAnsi="Times New Roman" w:cs="Times New Roman"/>
          <w:sz w:val="24"/>
          <w:szCs w:val="24"/>
        </w:rPr>
      </w:pPr>
      <w:r>
        <w:rPr>
          <w:rFonts w:ascii="Times New Roman" w:hAnsi="Times New Roman" w:cs="Times New Roman"/>
          <w:sz w:val="24"/>
          <w:szCs w:val="24"/>
        </w:rPr>
        <w:t>NYILVÁNTARTÁSI ADATLAP</w:t>
      </w:r>
    </w:p>
    <w:p w:rsidR="00B44D85" w:rsidRDefault="00F84976">
      <w:pPr>
        <w:spacing w:after="0"/>
        <w:jc w:val="center"/>
        <w:rPr>
          <w:rFonts w:ascii="Times New Roman" w:hAnsi="Times New Roman" w:cs="Times New Roman"/>
          <w:sz w:val="24"/>
          <w:szCs w:val="24"/>
        </w:rPr>
      </w:pPr>
      <w:r>
        <w:rPr>
          <w:rFonts w:ascii="Times New Roman" w:hAnsi="Times New Roman" w:cs="Times New Roman"/>
          <w:sz w:val="24"/>
          <w:szCs w:val="24"/>
        </w:rPr>
        <w:t>adatvédelmi incidens bejelentéséhez</w:t>
      </w:r>
    </w:p>
    <w:p w:rsidR="00B44D85" w:rsidRDefault="00B44D85">
      <w:pPr>
        <w:spacing w:after="0"/>
        <w:jc w:val="center"/>
        <w:rPr>
          <w:rFonts w:ascii="Times New Roman" w:hAnsi="Times New Roman" w:cs="Times New Roman"/>
          <w:sz w:val="24"/>
          <w:szCs w:val="24"/>
        </w:rPr>
      </w:pPr>
    </w:p>
    <w:p w:rsidR="00B44D85" w:rsidRDefault="00F84976">
      <w:pPr>
        <w:spacing w:after="0"/>
        <w:rPr>
          <w:rFonts w:ascii="Times New Roman" w:hAnsi="Times New Roman" w:cs="Times New Roman"/>
          <w:sz w:val="24"/>
          <w:szCs w:val="24"/>
        </w:rPr>
      </w:pPr>
      <w:r>
        <w:rPr>
          <w:rFonts w:ascii="Times New Roman" w:hAnsi="Times New Roman" w:cs="Times New Roman"/>
          <w:sz w:val="24"/>
          <w:szCs w:val="24"/>
        </w:rPr>
        <w:t>1. Adatkezelő adatai</w:t>
      </w:r>
    </w:p>
    <w:tbl>
      <w:tblPr>
        <w:tblStyle w:val="Rcsostblzat"/>
        <w:tblW w:w="9211" w:type="dxa"/>
        <w:tblLook w:val="04A0" w:firstRow="1" w:lastRow="0" w:firstColumn="1" w:lastColumn="0" w:noHBand="0" w:noVBand="1"/>
      </w:tblPr>
      <w:tblGrid>
        <w:gridCol w:w="4605"/>
        <w:gridCol w:w="4606"/>
      </w:tblGrid>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Adatkezelő szervezeti egysége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Kapcsolattartó neve: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Telefonszáma:</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E-mail címe: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bl>
    <w:p w:rsidR="00B44D85" w:rsidRDefault="00B44D85">
      <w:pPr>
        <w:spacing w:after="0"/>
        <w:rPr>
          <w:rFonts w:ascii="Times New Roman" w:hAnsi="Times New Roman" w:cs="Times New Roman"/>
          <w:sz w:val="24"/>
          <w:szCs w:val="24"/>
        </w:rPr>
      </w:pPr>
    </w:p>
    <w:p w:rsidR="00B44D85" w:rsidRDefault="00B44D85">
      <w:pPr>
        <w:spacing w:after="0"/>
        <w:rPr>
          <w:rFonts w:ascii="Times New Roman" w:hAnsi="Times New Roman" w:cs="Times New Roman"/>
          <w:sz w:val="24"/>
          <w:szCs w:val="24"/>
        </w:rPr>
      </w:pPr>
    </w:p>
    <w:p w:rsidR="00B44D85" w:rsidRDefault="00F84976">
      <w:pPr>
        <w:spacing w:after="0"/>
        <w:rPr>
          <w:rFonts w:ascii="Times New Roman" w:hAnsi="Times New Roman" w:cs="Times New Roman"/>
          <w:sz w:val="24"/>
          <w:szCs w:val="24"/>
        </w:rPr>
      </w:pPr>
      <w:r>
        <w:rPr>
          <w:rFonts w:ascii="Times New Roman" w:hAnsi="Times New Roman" w:cs="Times New Roman"/>
          <w:sz w:val="24"/>
          <w:szCs w:val="24"/>
        </w:rPr>
        <w:t>2. Adatfeldolgozás</w:t>
      </w:r>
    </w:p>
    <w:tbl>
      <w:tblPr>
        <w:tblStyle w:val="Rcsostblzat"/>
        <w:tblW w:w="9211" w:type="dxa"/>
        <w:tblLook w:val="04A0" w:firstRow="1" w:lastRow="0" w:firstColumn="1" w:lastColumn="0" w:noHBand="0" w:noVBand="1"/>
      </w:tblPr>
      <w:tblGrid>
        <w:gridCol w:w="4605"/>
        <w:gridCol w:w="4606"/>
      </w:tblGrid>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Adatfeldolgozó megnevezése: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Kapcsolattartó neve: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E-mail címe: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bl>
    <w:p w:rsidR="00B44D85" w:rsidRDefault="00B44D85">
      <w:pPr>
        <w:spacing w:after="0"/>
        <w:rPr>
          <w:rFonts w:ascii="Times New Roman" w:hAnsi="Times New Roman" w:cs="Times New Roman"/>
          <w:sz w:val="24"/>
          <w:szCs w:val="24"/>
        </w:rPr>
      </w:pPr>
    </w:p>
    <w:p w:rsidR="00B44D85" w:rsidRDefault="00B44D85">
      <w:pPr>
        <w:spacing w:after="0"/>
        <w:rPr>
          <w:rFonts w:ascii="Times New Roman" w:hAnsi="Times New Roman" w:cs="Times New Roman"/>
          <w:sz w:val="24"/>
          <w:szCs w:val="24"/>
        </w:rPr>
      </w:pPr>
    </w:p>
    <w:p w:rsidR="00B44D85" w:rsidRDefault="00F84976">
      <w:pPr>
        <w:spacing w:after="0"/>
        <w:rPr>
          <w:rFonts w:ascii="Times New Roman" w:hAnsi="Times New Roman" w:cs="Times New Roman"/>
          <w:sz w:val="24"/>
          <w:szCs w:val="24"/>
        </w:rPr>
      </w:pPr>
      <w:r>
        <w:rPr>
          <w:rFonts w:ascii="Times New Roman" w:hAnsi="Times New Roman" w:cs="Times New Roman"/>
          <w:sz w:val="24"/>
          <w:szCs w:val="24"/>
        </w:rPr>
        <w:t>3. Érintettek</w:t>
      </w:r>
    </w:p>
    <w:tbl>
      <w:tblPr>
        <w:tblStyle w:val="Rcsostblzat"/>
        <w:tblW w:w="9211" w:type="dxa"/>
        <w:tblLook w:val="04A0" w:firstRow="1" w:lastRow="0" w:firstColumn="1" w:lastColumn="0" w:noHBand="0" w:noVBand="1"/>
      </w:tblPr>
      <w:tblGrid>
        <w:gridCol w:w="4605"/>
        <w:gridCol w:w="4606"/>
      </w:tblGrid>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Érintett személyes adatok köre: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Érintett személyek köre:</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Érintett személyek száma:</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bl>
    <w:p w:rsidR="00B44D85" w:rsidRDefault="00B44D85">
      <w:pPr>
        <w:spacing w:after="0"/>
        <w:rPr>
          <w:rFonts w:ascii="Times New Roman" w:hAnsi="Times New Roman" w:cs="Times New Roman"/>
          <w:sz w:val="24"/>
          <w:szCs w:val="24"/>
        </w:rPr>
      </w:pPr>
    </w:p>
    <w:p w:rsidR="00B44D85" w:rsidRDefault="00B44D85">
      <w:pPr>
        <w:spacing w:after="0"/>
        <w:rPr>
          <w:rFonts w:ascii="Times New Roman" w:hAnsi="Times New Roman" w:cs="Times New Roman"/>
          <w:sz w:val="24"/>
          <w:szCs w:val="24"/>
        </w:rPr>
      </w:pPr>
    </w:p>
    <w:p w:rsidR="00B44D85" w:rsidRDefault="00F84976">
      <w:pPr>
        <w:spacing w:after="0"/>
        <w:rPr>
          <w:rFonts w:ascii="Times New Roman" w:hAnsi="Times New Roman" w:cs="Times New Roman"/>
          <w:sz w:val="24"/>
          <w:szCs w:val="24"/>
        </w:rPr>
      </w:pPr>
      <w:r>
        <w:rPr>
          <w:rFonts w:ascii="Times New Roman" w:hAnsi="Times New Roman" w:cs="Times New Roman"/>
          <w:sz w:val="24"/>
          <w:szCs w:val="24"/>
        </w:rPr>
        <w:t>4. Adatvédelmi incidens</w:t>
      </w:r>
    </w:p>
    <w:tbl>
      <w:tblPr>
        <w:tblStyle w:val="Rcsostblzat"/>
        <w:tblW w:w="9211" w:type="dxa"/>
        <w:tblLook w:val="04A0" w:firstRow="1" w:lastRow="0" w:firstColumn="1" w:lastColumn="0" w:noHBand="0" w:noVBand="1"/>
      </w:tblPr>
      <w:tblGrid>
        <w:gridCol w:w="4605"/>
        <w:gridCol w:w="4606"/>
      </w:tblGrid>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Időpontja:</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Körülményei:</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Intézkedések:</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r w:rsidR="00B44D85">
        <w:tc>
          <w:tcPr>
            <w:tcW w:w="4605" w:type="dxa"/>
            <w:shd w:val="clear" w:color="auto" w:fill="auto"/>
          </w:tcPr>
          <w:p w:rsidR="00B44D85" w:rsidRDefault="00F84976">
            <w:pPr>
              <w:spacing w:after="0" w:line="480" w:lineRule="auto"/>
              <w:rPr>
                <w:rFonts w:ascii="Times New Roman" w:hAnsi="Times New Roman" w:cs="Times New Roman"/>
                <w:sz w:val="24"/>
                <w:szCs w:val="24"/>
              </w:rPr>
            </w:pPr>
            <w:r>
              <w:rPr>
                <w:rFonts w:ascii="Times New Roman" w:hAnsi="Times New Roman" w:cs="Times New Roman"/>
                <w:sz w:val="24"/>
                <w:szCs w:val="24"/>
              </w:rPr>
              <w:t>Egyéb</w:t>
            </w:r>
          </w:p>
        </w:tc>
        <w:tc>
          <w:tcPr>
            <w:tcW w:w="4605" w:type="dxa"/>
            <w:shd w:val="clear" w:color="auto" w:fill="auto"/>
          </w:tcPr>
          <w:p w:rsidR="00B44D85" w:rsidRDefault="00B44D85">
            <w:pPr>
              <w:spacing w:after="0" w:line="480" w:lineRule="auto"/>
              <w:rPr>
                <w:rFonts w:ascii="Times New Roman" w:hAnsi="Times New Roman" w:cs="Times New Roman"/>
                <w:sz w:val="24"/>
                <w:szCs w:val="24"/>
              </w:rPr>
            </w:pPr>
          </w:p>
        </w:tc>
      </w:tr>
    </w:tbl>
    <w:p w:rsidR="00B44D85" w:rsidRDefault="00B44D85">
      <w:pPr>
        <w:spacing w:after="0"/>
        <w:rPr>
          <w:rFonts w:ascii="Times New Roman" w:hAnsi="Times New Roman" w:cs="Times New Roman"/>
          <w:sz w:val="24"/>
          <w:szCs w:val="24"/>
        </w:rPr>
      </w:pPr>
    </w:p>
    <w:p w:rsidR="00B44D85" w:rsidRDefault="00B44D85">
      <w:pPr>
        <w:spacing w:after="0"/>
        <w:rPr>
          <w:rFonts w:ascii="Times New Roman" w:hAnsi="Times New Roman" w:cs="Times New Roman"/>
          <w:sz w:val="24"/>
          <w:szCs w:val="24"/>
        </w:rPr>
      </w:pPr>
    </w:p>
    <w:p w:rsidR="00B44D85" w:rsidRDefault="00F84976">
      <w:pPr>
        <w:spacing w:after="0"/>
        <w:rPr>
          <w:rFonts w:ascii="Times New Roman" w:hAnsi="Times New Roman" w:cs="Times New Roman"/>
          <w:sz w:val="24"/>
          <w:szCs w:val="24"/>
        </w:rPr>
      </w:pPr>
      <w:r>
        <w:rPr>
          <w:rFonts w:ascii="Times New Roman" w:hAnsi="Times New Roman" w:cs="Times New Roman"/>
          <w:sz w:val="24"/>
          <w:szCs w:val="24"/>
        </w:rPr>
        <w:t>Dátum: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Aláírás:</w:t>
      </w:r>
    </w:p>
    <w:p w:rsidR="00B44D85" w:rsidRDefault="00B44D85"/>
    <w:p w:rsidR="00A4403B" w:rsidRPr="00704C46" w:rsidRDefault="00A4403B" w:rsidP="00A4403B">
      <w:pPr>
        <w:widowControl w:val="0"/>
        <w:jc w:val="center"/>
        <w:rPr>
          <w:b/>
          <w:bCs/>
          <w:caps/>
        </w:rPr>
      </w:pPr>
      <w:r w:rsidRPr="00704C46">
        <w:rPr>
          <w:b/>
          <w:bCs/>
          <w:caps/>
        </w:rPr>
        <w:t>megismerési záradék</w:t>
      </w:r>
    </w:p>
    <w:p w:rsidR="00A4403B" w:rsidRDefault="00A4403B" w:rsidP="00A4403B">
      <w:pPr>
        <w:widowControl w:val="0"/>
        <w:jc w:val="center"/>
        <w:rPr>
          <w:b/>
          <w:bCs/>
          <w:caps/>
        </w:rPr>
      </w:pPr>
    </w:p>
    <w:p w:rsidR="00A4403B" w:rsidRPr="00704C46" w:rsidRDefault="00A4403B" w:rsidP="00A4403B">
      <w:pPr>
        <w:widowControl w:val="0"/>
        <w:jc w:val="center"/>
        <w:rPr>
          <w:bCs/>
          <w:caps/>
        </w:rPr>
      </w:pPr>
      <w:r w:rsidRPr="00704C46">
        <w:rPr>
          <w:bCs/>
          <w:caps/>
        </w:rPr>
        <w:t>Ibrányi Polgármesteri Hivatal</w:t>
      </w:r>
    </w:p>
    <w:p w:rsidR="00A4403B" w:rsidRDefault="00A4403B" w:rsidP="00A4403B">
      <w:pPr>
        <w:widowControl w:val="0"/>
        <w:jc w:val="center"/>
        <w:rPr>
          <w:bCs/>
          <w:caps/>
        </w:rPr>
      </w:pPr>
      <w:r>
        <w:rPr>
          <w:bCs/>
          <w:caps/>
        </w:rPr>
        <w:t>Adatvédelmi</w:t>
      </w:r>
      <w:r w:rsidRPr="00704C46">
        <w:rPr>
          <w:bCs/>
          <w:caps/>
        </w:rPr>
        <w:t xml:space="preserve"> szabályzata</w:t>
      </w:r>
    </w:p>
    <w:p w:rsidR="00A4403B" w:rsidRDefault="00A4403B" w:rsidP="00A4403B">
      <w:pPr>
        <w:widowControl w:val="0"/>
        <w:jc w:val="center"/>
        <w:rPr>
          <w:bCs/>
          <w:caps/>
        </w:rPr>
      </w:pPr>
      <w:r>
        <w:rPr>
          <w:bCs/>
          <w:caps/>
        </w:rPr>
        <w:t>Alulírott aláírásommal tanusítom, hogy a szabályzatot, annaktartalmát megismertem:</w:t>
      </w:r>
    </w:p>
    <w:p w:rsidR="00A4403B" w:rsidRDefault="00A4403B" w:rsidP="00A4403B">
      <w:pPr>
        <w:widowControl w:val="0"/>
        <w:jc w:val="center"/>
        <w:rPr>
          <w:bCs/>
          <w:caps/>
        </w:rPr>
      </w:pPr>
    </w:p>
    <w:p w:rsidR="00A4403B" w:rsidRPr="00704C46" w:rsidRDefault="00A4403B" w:rsidP="00A4403B">
      <w:pPr>
        <w:widowControl w:val="0"/>
        <w:jc w:val="center"/>
        <w:rPr>
          <w:bCs/>
          <w:caps/>
        </w:rPr>
      </w:pPr>
    </w:p>
    <w:tbl>
      <w:tblPr>
        <w:tblStyle w:val="Rcsostblzat"/>
        <w:tblW w:w="0" w:type="auto"/>
        <w:tblLayout w:type="fixed"/>
        <w:tblLook w:val="01E0" w:firstRow="1" w:lastRow="1" w:firstColumn="1" w:lastColumn="1" w:noHBand="0" w:noVBand="0"/>
      </w:tblPr>
      <w:tblGrid>
        <w:gridCol w:w="704"/>
        <w:gridCol w:w="3518"/>
        <w:gridCol w:w="3179"/>
        <w:gridCol w:w="1732"/>
      </w:tblGrid>
      <w:tr w:rsidR="00A4403B" w:rsidTr="002A450A">
        <w:tc>
          <w:tcPr>
            <w:tcW w:w="704" w:type="dxa"/>
          </w:tcPr>
          <w:p w:rsidR="00A4403B" w:rsidRDefault="00A4403B" w:rsidP="002A450A">
            <w:pPr>
              <w:widowControl w:val="0"/>
              <w:jc w:val="center"/>
              <w:rPr>
                <w:b/>
                <w:bCs/>
                <w:caps/>
              </w:rPr>
            </w:pPr>
            <w:r>
              <w:rPr>
                <w:b/>
                <w:bCs/>
                <w:caps/>
              </w:rPr>
              <w:t>ssz.</w:t>
            </w:r>
          </w:p>
        </w:tc>
        <w:tc>
          <w:tcPr>
            <w:tcW w:w="3518" w:type="dxa"/>
          </w:tcPr>
          <w:p w:rsidR="00A4403B" w:rsidRDefault="00A4403B" w:rsidP="002A450A">
            <w:pPr>
              <w:widowControl w:val="0"/>
              <w:jc w:val="center"/>
              <w:rPr>
                <w:b/>
                <w:bCs/>
                <w:caps/>
              </w:rPr>
            </w:pPr>
            <w:r>
              <w:rPr>
                <w:b/>
                <w:bCs/>
                <w:caps/>
              </w:rPr>
              <w:t xml:space="preserve">NÉV </w:t>
            </w:r>
          </w:p>
        </w:tc>
        <w:tc>
          <w:tcPr>
            <w:tcW w:w="3179" w:type="dxa"/>
          </w:tcPr>
          <w:p w:rsidR="00A4403B" w:rsidRDefault="00A4403B" w:rsidP="002A450A">
            <w:pPr>
              <w:widowControl w:val="0"/>
              <w:jc w:val="center"/>
              <w:rPr>
                <w:b/>
                <w:bCs/>
                <w:caps/>
              </w:rPr>
            </w:pPr>
            <w:r>
              <w:rPr>
                <w:b/>
                <w:bCs/>
                <w:caps/>
              </w:rPr>
              <w:t>Aláírás</w:t>
            </w:r>
          </w:p>
        </w:tc>
        <w:tc>
          <w:tcPr>
            <w:tcW w:w="1732" w:type="dxa"/>
          </w:tcPr>
          <w:p w:rsidR="00A4403B" w:rsidRDefault="00A4403B" w:rsidP="002A450A">
            <w:pPr>
              <w:widowControl w:val="0"/>
              <w:jc w:val="center"/>
              <w:rPr>
                <w:b/>
                <w:bCs/>
                <w:caps/>
              </w:rPr>
            </w:pPr>
            <w:r>
              <w:rPr>
                <w:b/>
                <w:bCs/>
                <w:caps/>
              </w:rPr>
              <w:t>Dátum</w:t>
            </w: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spacing w:after="0" w:line="240" w:lineRule="auto"/>
              <w:jc w:val="center"/>
              <w:rPr>
                <w:b/>
                <w:bCs/>
                <w:caps/>
              </w:rPr>
            </w:pPr>
          </w:p>
          <w:p w:rsidR="00A4403B" w:rsidRDefault="00A4403B" w:rsidP="00A4403B">
            <w:pPr>
              <w:widowControl w:val="0"/>
              <w:spacing w:after="0" w:line="240" w:lineRule="auto"/>
              <w:jc w:val="center"/>
              <w:rPr>
                <w:b/>
                <w:bCs/>
                <w:caps/>
              </w:rPr>
            </w:pPr>
          </w:p>
          <w:p w:rsidR="00A4403B" w:rsidRDefault="00A4403B" w:rsidP="00A4403B">
            <w:pPr>
              <w:widowControl w:val="0"/>
              <w:spacing w:after="0" w:line="240" w:lineRule="auto"/>
              <w:jc w:val="center"/>
              <w:rPr>
                <w:b/>
                <w:bCs/>
                <w:caps/>
              </w:rPr>
            </w:pPr>
          </w:p>
          <w:p w:rsidR="00A4403B" w:rsidRDefault="00A4403B" w:rsidP="00A4403B">
            <w:pPr>
              <w:widowControl w:val="0"/>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A4403B" w:rsidTr="002A450A">
        <w:tc>
          <w:tcPr>
            <w:tcW w:w="704" w:type="dxa"/>
          </w:tcPr>
          <w:p w:rsidR="00A4403B" w:rsidRDefault="00A4403B" w:rsidP="00A4403B">
            <w:pPr>
              <w:widowControl w:val="0"/>
              <w:numPr>
                <w:ilvl w:val="0"/>
                <w:numId w:val="34"/>
              </w:numPr>
              <w:spacing w:after="0" w:line="240" w:lineRule="auto"/>
              <w:jc w:val="center"/>
              <w:rPr>
                <w:b/>
                <w:bCs/>
                <w:caps/>
              </w:rPr>
            </w:pPr>
          </w:p>
        </w:tc>
        <w:tc>
          <w:tcPr>
            <w:tcW w:w="3518" w:type="dxa"/>
          </w:tcPr>
          <w:p w:rsidR="00A4403B" w:rsidRDefault="00A4403B" w:rsidP="002A450A">
            <w:pPr>
              <w:widowControl w:val="0"/>
              <w:jc w:val="center"/>
              <w:rPr>
                <w:b/>
                <w:bCs/>
                <w:caps/>
              </w:rPr>
            </w:pPr>
          </w:p>
          <w:p w:rsidR="00A4403B" w:rsidRDefault="00A4403B" w:rsidP="002A450A">
            <w:pPr>
              <w:widowControl w:val="0"/>
              <w:jc w:val="center"/>
              <w:rPr>
                <w:b/>
                <w:bCs/>
                <w:caps/>
              </w:rPr>
            </w:pPr>
          </w:p>
        </w:tc>
        <w:tc>
          <w:tcPr>
            <w:tcW w:w="3179" w:type="dxa"/>
          </w:tcPr>
          <w:p w:rsidR="00A4403B" w:rsidRDefault="00A4403B" w:rsidP="002A450A">
            <w:pPr>
              <w:widowControl w:val="0"/>
              <w:jc w:val="center"/>
              <w:rPr>
                <w:b/>
                <w:bCs/>
                <w:caps/>
              </w:rPr>
            </w:pPr>
          </w:p>
        </w:tc>
        <w:tc>
          <w:tcPr>
            <w:tcW w:w="1732" w:type="dxa"/>
          </w:tcPr>
          <w:p w:rsidR="00A4403B" w:rsidRDefault="00A4403B"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p w:rsidR="00844E09" w:rsidRDefault="00844E09" w:rsidP="002A450A">
            <w:pPr>
              <w:widowControl w:val="0"/>
              <w:jc w:val="center"/>
              <w:rPr>
                <w:b/>
                <w:bCs/>
                <w:caps/>
              </w:rPr>
            </w:pPr>
          </w:p>
        </w:tc>
      </w:tr>
      <w:tr w:rsidR="00844E09" w:rsidTr="002A450A">
        <w:tc>
          <w:tcPr>
            <w:tcW w:w="704" w:type="dxa"/>
          </w:tcPr>
          <w:p w:rsidR="00844E09" w:rsidRDefault="00844E09" w:rsidP="00A4403B">
            <w:pPr>
              <w:widowControl w:val="0"/>
              <w:numPr>
                <w:ilvl w:val="0"/>
                <w:numId w:val="34"/>
              </w:numPr>
              <w:spacing w:after="0" w:line="240" w:lineRule="auto"/>
              <w:jc w:val="center"/>
              <w:rPr>
                <w:b/>
                <w:bCs/>
                <w:caps/>
              </w:rPr>
            </w:pPr>
          </w:p>
        </w:tc>
        <w:tc>
          <w:tcPr>
            <w:tcW w:w="3518" w:type="dxa"/>
          </w:tcPr>
          <w:p w:rsidR="00844E09" w:rsidRDefault="00844E09" w:rsidP="002A450A">
            <w:pPr>
              <w:widowControl w:val="0"/>
              <w:jc w:val="center"/>
              <w:rPr>
                <w:b/>
                <w:bCs/>
                <w:caps/>
              </w:rPr>
            </w:pPr>
          </w:p>
        </w:tc>
        <w:tc>
          <w:tcPr>
            <w:tcW w:w="3179" w:type="dxa"/>
          </w:tcPr>
          <w:p w:rsidR="00844E09" w:rsidRDefault="00844E09" w:rsidP="002A450A">
            <w:pPr>
              <w:widowControl w:val="0"/>
              <w:jc w:val="center"/>
              <w:rPr>
                <w:b/>
                <w:bCs/>
                <w:caps/>
              </w:rPr>
            </w:pPr>
          </w:p>
        </w:tc>
        <w:tc>
          <w:tcPr>
            <w:tcW w:w="1732" w:type="dxa"/>
          </w:tcPr>
          <w:p w:rsidR="00844E09" w:rsidRDefault="00844E09" w:rsidP="002A450A">
            <w:pPr>
              <w:widowControl w:val="0"/>
              <w:jc w:val="center"/>
              <w:rPr>
                <w:b/>
                <w:bCs/>
                <w:caps/>
              </w:rPr>
            </w:pPr>
          </w:p>
          <w:p w:rsidR="00844E09" w:rsidRDefault="00844E09" w:rsidP="002A450A">
            <w:pPr>
              <w:widowControl w:val="0"/>
              <w:jc w:val="center"/>
              <w:rPr>
                <w:b/>
                <w:bCs/>
                <w:caps/>
              </w:rPr>
            </w:pPr>
          </w:p>
        </w:tc>
      </w:tr>
    </w:tbl>
    <w:p w:rsidR="00A4403B" w:rsidRDefault="00A4403B" w:rsidP="000E743A">
      <w:pPr>
        <w:widowControl w:val="0"/>
        <w:jc w:val="center"/>
        <w:rPr>
          <w:b/>
          <w:bCs/>
          <w:caps/>
        </w:rPr>
      </w:pPr>
      <w:bookmarkStart w:id="11" w:name="_GoBack"/>
      <w:bookmarkEnd w:id="11"/>
    </w:p>
    <w:sectPr w:rsidR="00A4403B" w:rsidSect="00B44D85">
      <w:footerReference w:type="default" r:id="rId8"/>
      <w:pgSz w:w="11906" w:h="16838"/>
      <w:pgMar w:top="1418" w:right="1304" w:bottom="1418" w:left="1304" w:header="0"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D85" w:rsidRDefault="00B44D85" w:rsidP="00B44D85">
      <w:pPr>
        <w:spacing w:after="0" w:line="240" w:lineRule="auto"/>
      </w:pPr>
      <w:r>
        <w:separator/>
      </w:r>
    </w:p>
  </w:endnote>
  <w:endnote w:type="continuationSeparator" w:id="0">
    <w:p w:rsidR="00B44D85" w:rsidRDefault="00B44D85" w:rsidP="00B4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864679"/>
      <w:docPartObj>
        <w:docPartGallery w:val="Page Numbers (Bottom of Page)"/>
        <w:docPartUnique/>
      </w:docPartObj>
    </w:sdtPr>
    <w:sdtEndPr/>
    <w:sdtContent>
      <w:p w:rsidR="00B44D85" w:rsidRDefault="00055E18">
        <w:pPr>
          <w:pStyle w:val="llb1"/>
          <w:jc w:val="center"/>
        </w:pPr>
        <w:r>
          <w:rPr>
            <w:rFonts w:ascii="Times New Roman" w:hAnsi="Times New Roman" w:cs="Times New Roman"/>
          </w:rPr>
          <w:fldChar w:fldCharType="begin"/>
        </w:r>
        <w:r w:rsidR="00F84976">
          <w:rPr>
            <w:rFonts w:ascii="Times New Roman" w:hAnsi="Times New Roman" w:cs="Times New Roman"/>
          </w:rPr>
          <w:instrText>PAGE</w:instrText>
        </w:r>
        <w:r>
          <w:rPr>
            <w:rFonts w:ascii="Times New Roman" w:hAnsi="Times New Roman" w:cs="Times New Roman"/>
          </w:rPr>
          <w:fldChar w:fldCharType="separate"/>
        </w:r>
        <w:r w:rsidR="00CD24F6">
          <w:rPr>
            <w:rFonts w:ascii="Times New Roman" w:hAnsi="Times New Roman" w:cs="Times New Roman"/>
            <w:noProof/>
          </w:rPr>
          <w:t>2</w:t>
        </w:r>
        <w:r>
          <w:rPr>
            <w:rFonts w:ascii="Times New Roman" w:hAnsi="Times New Roman" w:cs="Times New Roman"/>
          </w:rPr>
          <w:fldChar w:fldCharType="end"/>
        </w:r>
      </w:p>
    </w:sdtContent>
  </w:sdt>
  <w:p w:rsidR="00B44D85" w:rsidRDefault="00B44D85">
    <w:pPr>
      <w:pStyle w:val="llb1"/>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D85" w:rsidRDefault="00B44D85" w:rsidP="00B44D85">
      <w:pPr>
        <w:spacing w:after="0" w:line="240" w:lineRule="auto"/>
      </w:pPr>
      <w:r>
        <w:separator/>
      </w:r>
    </w:p>
  </w:footnote>
  <w:footnote w:type="continuationSeparator" w:id="0">
    <w:p w:rsidR="00B44D85" w:rsidRDefault="00B44D85" w:rsidP="00B44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477"/>
    <w:multiLevelType w:val="multilevel"/>
    <w:tmpl w:val="ADD44BCE"/>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Letter"/>
      <w:lvlText w:val="%3)"/>
      <w:lvlJc w:val="left"/>
      <w:pPr>
        <w:ind w:left="3763"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E28D4"/>
    <w:multiLevelType w:val="multilevel"/>
    <w:tmpl w:val="EDFC7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C660E"/>
    <w:multiLevelType w:val="multilevel"/>
    <w:tmpl w:val="0310FE36"/>
    <w:lvl w:ilvl="0">
      <w:start w:val="1"/>
      <w:numFmt w:val="lowerLetter"/>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 w15:restartNumberingAfterBreak="0">
    <w:nsid w:val="0A580BF0"/>
    <w:multiLevelType w:val="multilevel"/>
    <w:tmpl w:val="91480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462B4A"/>
    <w:multiLevelType w:val="multilevel"/>
    <w:tmpl w:val="EADE08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B358B4"/>
    <w:multiLevelType w:val="multilevel"/>
    <w:tmpl w:val="95545242"/>
    <w:lvl w:ilvl="0">
      <w:start w:val="1"/>
      <w:numFmt w:val="lowerLetter"/>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15:restartNumberingAfterBreak="0">
    <w:nsid w:val="0DA35377"/>
    <w:multiLevelType w:val="multilevel"/>
    <w:tmpl w:val="85CA35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3A2D33"/>
    <w:multiLevelType w:val="multilevel"/>
    <w:tmpl w:val="5FD83D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E94C7A"/>
    <w:multiLevelType w:val="multilevel"/>
    <w:tmpl w:val="6C88088C"/>
    <w:lvl w:ilvl="0">
      <w:start w:val="1"/>
      <w:numFmt w:val="decimal"/>
      <w:lvlText w:val="%1."/>
      <w:lvlJc w:val="left"/>
      <w:pPr>
        <w:ind w:left="720" w:hanging="360"/>
      </w:pPr>
      <w:rPr>
        <w:rFonts w:ascii="Times New Roman" w:hAnsi="Times New Roman" w:cs="Times New Roman"/>
        <w:b/>
        <w:sz w:val="24"/>
      </w:r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63A6CFE"/>
    <w:multiLevelType w:val="multilevel"/>
    <w:tmpl w:val="123A8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AD329F"/>
    <w:multiLevelType w:val="multilevel"/>
    <w:tmpl w:val="A8065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24B62"/>
    <w:multiLevelType w:val="multilevel"/>
    <w:tmpl w:val="891ED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86137"/>
    <w:multiLevelType w:val="multilevel"/>
    <w:tmpl w:val="1E90B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EE0EB5"/>
    <w:multiLevelType w:val="multilevel"/>
    <w:tmpl w:val="82F6B3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C9342D1"/>
    <w:multiLevelType w:val="multilevel"/>
    <w:tmpl w:val="CF881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6C4159"/>
    <w:multiLevelType w:val="multilevel"/>
    <w:tmpl w:val="6E0658D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CAC60AF"/>
    <w:multiLevelType w:val="multilevel"/>
    <w:tmpl w:val="D98A2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154E5C"/>
    <w:multiLevelType w:val="multilevel"/>
    <w:tmpl w:val="27624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C16C5E"/>
    <w:multiLevelType w:val="multilevel"/>
    <w:tmpl w:val="F3EAE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C63C36"/>
    <w:multiLevelType w:val="multilevel"/>
    <w:tmpl w:val="AFC81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CF680E"/>
    <w:multiLevelType w:val="multilevel"/>
    <w:tmpl w:val="5D5631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B705E63"/>
    <w:multiLevelType w:val="multilevel"/>
    <w:tmpl w:val="BBF2C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EF0B19"/>
    <w:multiLevelType w:val="multilevel"/>
    <w:tmpl w:val="DADCEC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F419CB"/>
    <w:multiLevelType w:val="multilevel"/>
    <w:tmpl w:val="E1D68016"/>
    <w:lvl w:ilvl="0">
      <w:start w:val="1"/>
      <w:numFmt w:val="decimal"/>
      <w:lvlText w:val="%1."/>
      <w:lvlJc w:val="left"/>
      <w:pPr>
        <w:ind w:left="720" w:hanging="360"/>
      </w:pPr>
      <w:rPr>
        <w:rFonts w:ascii="Times New Roman" w:hAnsi="Times New Roman"/>
        <w:b/>
        <w:sz w:val="24"/>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41E477B"/>
    <w:multiLevelType w:val="hybridMultilevel"/>
    <w:tmpl w:val="18C219A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 w15:restartNumberingAfterBreak="0">
    <w:nsid w:val="58CD0636"/>
    <w:multiLevelType w:val="multilevel"/>
    <w:tmpl w:val="1B20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EE5D2C"/>
    <w:multiLevelType w:val="multilevel"/>
    <w:tmpl w:val="579A1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A23F42"/>
    <w:multiLevelType w:val="multilevel"/>
    <w:tmpl w:val="204EA2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A75FDF"/>
    <w:multiLevelType w:val="multilevel"/>
    <w:tmpl w:val="C45CB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3211DB"/>
    <w:multiLevelType w:val="multilevel"/>
    <w:tmpl w:val="63A2B1B6"/>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C10E9A"/>
    <w:multiLevelType w:val="multilevel"/>
    <w:tmpl w:val="26669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3757CE"/>
    <w:multiLevelType w:val="multilevel"/>
    <w:tmpl w:val="B34C0652"/>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Letter"/>
      <w:lvlText w:val="%3)"/>
      <w:lvlJc w:val="left"/>
      <w:pPr>
        <w:ind w:left="3763"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2913BB"/>
    <w:multiLevelType w:val="multilevel"/>
    <w:tmpl w:val="4878B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317973"/>
    <w:multiLevelType w:val="multilevel"/>
    <w:tmpl w:val="F2D20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2"/>
  </w:num>
  <w:num w:numId="3">
    <w:abstractNumId w:val="8"/>
  </w:num>
  <w:num w:numId="4">
    <w:abstractNumId w:val="11"/>
  </w:num>
  <w:num w:numId="5">
    <w:abstractNumId w:val="10"/>
  </w:num>
  <w:num w:numId="6">
    <w:abstractNumId w:val="28"/>
  </w:num>
  <w:num w:numId="7">
    <w:abstractNumId w:val="30"/>
  </w:num>
  <w:num w:numId="8">
    <w:abstractNumId w:val="14"/>
  </w:num>
  <w:num w:numId="9">
    <w:abstractNumId w:val="1"/>
  </w:num>
  <w:num w:numId="10">
    <w:abstractNumId w:val="4"/>
  </w:num>
  <w:num w:numId="11">
    <w:abstractNumId w:val="16"/>
  </w:num>
  <w:num w:numId="12">
    <w:abstractNumId w:val="31"/>
  </w:num>
  <w:num w:numId="13">
    <w:abstractNumId w:val="29"/>
  </w:num>
  <w:num w:numId="14">
    <w:abstractNumId w:val="0"/>
  </w:num>
  <w:num w:numId="15">
    <w:abstractNumId w:val="22"/>
  </w:num>
  <w:num w:numId="16">
    <w:abstractNumId w:val="33"/>
  </w:num>
  <w:num w:numId="17">
    <w:abstractNumId w:val="3"/>
  </w:num>
  <w:num w:numId="18">
    <w:abstractNumId w:val="19"/>
  </w:num>
  <w:num w:numId="19">
    <w:abstractNumId w:val="21"/>
  </w:num>
  <w:num w:numId="20">
    <w:abstractNumId w:val="18"/>
  </w:num>
  <w:num w:numId="21">
    <w:abstractNumId w:val="13"/>
  </w:num>
  <w:num w:numId="22">
    <w:abstractNumId w:val="27"/>
  </w:num>
  <w:num w:numId="23">
    <w:abstractNumId w:val="7"/>
  </w:num>
  <w:num w:numId="24">
    <w:abstractNumId w:val="15"/>
  </w:num>
  <w:num w:numId="25">
    <w:abstractNumId w:val="26"/>
  </w:num>
  <w:num w:numId="26">
    <w:abstractNumId w:val="32"/>
  </w:num>
  <w:num w:numId="27">
    <w:abstractNumId w:val="17"/>
  </w:num>
  <w:num w:numId="28">
    <w:abstractNumId w:val="5"/>
  </w:num>
  <w:num w:numId="29">
    <w:abstractNumId w:val="6"/>
  </w:num>
  <w:num w:numId="30">
    <w:abstractNumId w:val="25"/>
  </w:num>
  <w:num w:numId="31">
    <w:abstractNumId w:val="2"/>
  </w:num>
  <w:num w:numId="32">
    <w:abstractNumId w:val="9"/>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85"/>
    <w:rsid w:val="000307EF"/>
    <w:rsid w:val="00055E18"/>
    <w:rsid w:val="000B344B"/>
    <w:rsid w:val="000E743A"/>
    <w:rsid w:val="00175A10"/>
    <w:rsid w:val="002D6F45"/>
    <w:rsid w:val="002E15D6"/>
    <w:rsid w:val="002F22CA"/>
    <w:rsid w:val="00335331"/>
    <w:rsid w:val="003717CE"/>
    <w:rsid w:val="00505A57"/>
    <w:rsid w:val="00655C96"/>
    <w:rsid w:val="00677FF4"/>
    <w:rsid w:val="00795A80"/>
    <w:rsid w:val="00844E09"/>
    <w:rsid w:val="00880E54"/>
    <w:rsid w:val="00925D0C"/>
    <w:rsid w:val="00946328"/>
    <w:rsid w:val="00A021C7"/>
    <w:rsid w:val="00A4403B"/>
    <w:rsid w:val="00A77953"/>
    <w:rsid w:val="00B3364B"/>
    <w:rsid w:val="00B44D85"/>
    <w:rsid w:val="00B66C23"/>
    <w:rsid w:val="00CD24F6"/>
    <w:rsid w:val="00CE3B4F"/>
    <w:rsid w:val="00DF0F0A"/>
    <w:rsid w:val="00F84976"/>
    <w:rsid w:val="00F951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6E1F"/>
  <w15:docId w15:val="{AABD1637-F15E-43BD-9778-286C0847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5A71"/>
    <w:pPr>
      <w:spacing w:after="200" w:line="276" w:lineRule="auto"/>
    </w:pPr>
    <w:rPr>
      <w:rFonts w:ascii="Calibri" w:eastAsiaTheme="minorEastAsia" w:hAnsi="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link w:val="Cmsor1Char"/>
    <w:uiPriority w:val="9"/>
    <w:qFormat/>
    <w:rsid w:val="00C55A71"/>
    <w:pPr>
      <w:keepNext/>
      <w:keepLines/>
      <w:spacing w:before="240" w:after="0"/>
      <w:jc w:val="center"/>
      <w:outlineLvl w:val="0"/>
    </w:pPr>
    <w:rPr>
      <w:rFonts w:ascii="Times New Roman" w:eastAsiaTheme="majorEastAsia" w:hAnsi="Times New Roman" w:cstheme="majorBidi"/>
      <w:sz w:val="28"/>
      <w:szCs w:val="32"/>
    </w:rPr>
  </w:style>
  <w:style w:type="character" w:customStyle="1" w:styleId="Cmsor1Char">
    <w:name w:val="Címsor 1 Char"/>
    <w:basedOn w:val="Bekezdsalapbettpusa"/>
    <w:link w:val="Cmsor11"/>
    <w:uiPriority w:val="9"/>
    <w:qFormat/>
    <w:rsid w:val="00C55A71"/>
    <w:rPr>
      <w:rFonts w:ascii="Times New Roman" w:eastAsiaTheme="majorEastAsia" w:hAnsi="Times New Roman" w:cstheme="majorBidi"/>
      <w:sz w:val="28"/>
      <w:szCs w:val="32"/>
      <w:lang w:eastAsia="hu-HU"/>
    </w:rPr>
  </w:style>
  <w:style w:type="character" w:customStyle="1" w:styleId="Internet-hivatkozs">
    <w:name w:val="Internet-hivatkozás"/>
    <w:basedOn w:val="Bekezdsalapbettpusa"/>
    <w:uiPriority w:val="99"/>
    <w:unhideWhenUsed/>
    <w:rsid w:val="00C55A71"/>
    <w:rPr>
      <w:color w:val="0000FF"/>
      <w:u w:val="single"/>
    </w:rPr>
  </w:style>
  <w:style w:type="character" w:customStyle="1" w:styleId="llbChar">
    <w:name w:val="Élőláb Char"/>
    <w:basedOn w:val="Bekezdsalapbettpusa"/>
    <w:uiPriority w:val="99"/>
    <w:qFormat/>
    <w:rsid w:val="00C55A71"/>
    <w:rPr>
      <w:rFonts w:eastAsiaTheme="minorEastAsia"/>
      <w:lang w:eastAsia="hu-HU"/>
    </w:rPr>
  </w:style>
  <w:style w:type="character" w:customStyle="1" w:styleId="BuborkszvegChar">
    <w:name w:val="Buborékszöveg Char"/>
    <w:basedOn w:val="Bekezdsalapbettpusa"/>
    <w:link w:val="Buborkszveg"/>
    <w:uiPriority w:val="99"/>
    <w:semiHidden/>
    <w:qFormat/>
    <w:rsid w:val="00C55A71"/>
    <w:rPr>
      <w:rFonts w:ascii="Tahoma" w:eastAsiaTheme="minorEastAsia" w:hAnsi="Tahoma" w:cs="Tahoma"/>
      <w:sz w:val="16"/>
      <w:szCs w:val="16"/>
      <w:lang w:eastAsia="hu-HU"/>
    </w:rPr>
  </w:style>
  <w:style w:type="character" w:customStyle="1" w:styleId="ListLabel1">
    <w:name w:val="ListLabel 1"/>
    <w:qFormat/>
    <w:rsid w:val="00B44D85"/>
    <w:rPr>
      <w:rFonts w:ascii="Times New Roman" w:hAnsi="Times New Roman"/>
      <w:b/>
      <w:sz w:val="24"/>
    </w:rPr>
  </w:style>
  <w:style w:type="character" w:customStyle="1" w:styleId="ListLabel2">
    <w:name w:val="ListLabel 2"/>
    <w:qFormat/>
    <w:rsid w:val="00B44D85"/>
    <w:rPr>
      <w:rFonts w:ascii="Times New Roman" w:hAnsi="Times New Roman" w:cs="Times New Roman"/>
      <w:b/>
      <w:sz w:val="24"/>
    </w:rPr>
  </w:style>
  <w:style w:type="character" w:customStyle="1" w:styleId="ListLabel3">
    <w:name w:val="ListLabel 3"/>
    <w:qFormat/>
    <w:rsid w:val="00B44D85"/>
  </w:style>
  <w:style w:type="paragraph" w:customStyle="1" w:styleId="Cmsor">
    <w:name w:val="Címsor"/>
    <w:basedOn w:val="Norml"/>
    <w:next w:val="Szvegtrzs"/>
    <w:qFormat/>
    <w:rsid w:val="00B44D85"/>
    <w:pPr>
      <w:keepNext/>
      <w:spacing w:before="240" w:after="120"/>
    </w:pPr>
    <w:rPr>
      <w:rFonts w:ascii="Liberation Sans" w:eastAsia="Microsoft YaHei" w:hAnsi="Liberation Sans" w:cs="Arial"/>
      <w:sz w:val="28"/>
      <w:szCs w:val="28"/>
    </w:rPr>
  </w:style>
  <w:style w:type="paragraph" w:styleId="Szvegtrzs">
    <w:name w:val="Body Text"/>
    <w:basedOn w:val="Norml"/>
    <w:rsid w:val="00B44D85"/>
    <w:pPr>
      <w:spacing w:after="140"/>
    </w:pPr>
  </w:style>
  <w:style w:type="paragraph" w:styleId="Lista">
    <w:name w:val="List"/>
    <w:basedOn w:val="Szvegtrzs"/>
    <w:rsid w:val="00B44D85"/>
    <w:rPr>
      <w:rFonts w:cs="Arial"/>
    </w:rPr>
  </w:style>
  <w:style w:type="paragraph" w:customStyle="1" w:styleId="Kpalrs1">
    <w:name w:val="Képaláírás1"/>
    <w:basedOn w:val="Norml"/>
    <w:qFormat/>
    <w:rsid w:val="00B44D85"/>
    <w:pPr>
      <w:suppressLineNumbers/>
      <w:spacing w:before="120" w:after="120"/>
    </w:pPr>
    <w:rPr>
      <w:rFonts w:cs="Arial"/>
      <w:i/>
      <w:iCs/>
      <w:sz w:val="24"/>
      <w:szCs w:val="24"/>
    </w:rPr>
  </w:style>
  <w:style w:type="paragraph" w:customStyle="1" w:styleId="Trgymutat">
    <w:name w:val="Tárgymutató"/>
    <w:basedOn w:val="Norml"/>
    <w:qFormat/>
    <w:rsid w:val="00B44D85"/>
    <w:pPr>
      <w:suppressLineNumbers/>
    </w:pPr>
    <w:rPr>
      <w:rFonts w:cs="Arial"/>
    </w:rPr>
  </w:style>
  <w:style w:type="paragraph" w:styleId="Listaszerbekezds">
    <w:name w:val="List Paragraph"/>
    <w:basedOn w:val="Norml"/>
    <w:uiPriority w:val="34"/>
    <w:qFormat/>
    <w:rsid w:val="00C55A71"/>
    <w:pPr>
      <w:ind w:left="720"/>
      <w:contextualSpacing/>
    </w:pPr>
  </w:style>
  <w:style w:type="paragraph" w:customStyle="1" w:styleId="llb1">
    <w:name w:val="Élőláb1"/>
    <w:basedOn w:val="Norml"/>
    <w:uiPriority w:val="99"/>
    <w:unhideWhenUsed/>
    <w:rsid w:val="00C55A71"/>
    <w:pPr>
      <w:tabs>
        <w:tab w:val="center" w:pos="4536"/>
        <w:tab w:val="right" w:pos="9072"/>
      </w:tabs>
      <w:spacing w:after="0" w:line="240" w:lineRule="auto"/>
    </w:pPr>
  </w:style>
  <w:style w:type="paragraph" w:styleId="Tartalomjegyzkcmsora">
    <w:name w:val="TOC Heading"/>
    <w:basedOn w:val="Cmsor11"/>
    <w:uiPriority w:val="39"/>
    <w:unhideWhenUsed/>
    <w:qFormat/>
    <w:rsid w:val="00C55A71"/>
    <w:pPr>
      <w:spacing w:line="259" w:lineRule="auto"/>
      <w:jc w:val="left"/>
    </w:pPr>
    <w:rPr>
      <w:rFonts w:asciiTheme="majorHAnsi" w:hAnsiTheme="majorHAnsi"/>
      <w:color w:val="365F91" w:themeColor="accent1" w:themeShade="BF"/>
      <w:sz w:val="32"/>
    </w:rPr>
  </w:style>
  <w:style w:type="paragraph" w:customStyle="1" w:styleId="TJ11">
    <w:name w:val="TJ 11"/>
    <w:basedOn w:val="Norml"/>
    <w:autoRedefine/>
    <w:uiPriority w:val="39"/>
    <w:unhideWhenUsed/>
    <w:rsid w:val="00C55A71"/>
    <w:pPr>
      <w:spacing w:after="100"/>
    </w:pPr>
  </w:style>
  <w:style w:type="paragraph" w:styleId="Buborkszveg">
    <w:name w:val="Balloon Text"/>
    <w:basedOn w:val="Norml"/>
    <w:link w:val="BuborkszvegChar"/>
    <w:uiPriority w:val="99"/>
    <w:semiHidden/>
    <w:unhideWhenUsed/>
    <w:qFormat/>
    <w:rsid w:val="00C55A71"/>
    <w:pPr>
      <w:spacing w:after="0" w:line="240" w:lineRule="auto"/>
    </w:pPr>
    <w:rPr>
      <w:rFonts w:ascii="Tahoma" w:hAnsi="Tahoma" w:cs="Tahoma"/>
      <w:sz w:val="16"/>
      <w:szCs w:val="16"/>
    </w:rPr>
  </w:style>
  <w:style w:type="table" w:styleId="Rcsostblzat">
    <w:name w:val="Table Grid"/>
    <w:basedOn w:val="Normltblzat"/>
    <w:rsid w:val="00C55A71"/>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11AE4-550C-425E-A6B6-1DF58B00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3905</Words>
  <Characters>26947</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Bakosiné Márton Mária</cp:lastModifiedBy>
  <cp:revision>8</cp:revision>
  <cp:lastPrinted>2019-07-11T12:08:00Z</cp:lastPrinted>
  <dcterms:created xsi:type="dcterms:W3CDTF">2019-07-08T09:30:00Z</dcterms:created>
  <dcterms:modified xsi:type="dcterms:W3CDTF">2019-07-11T12:11:00Z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