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tabs>
          <w:tab w:val="left" w:pos="9072"/>
        </w:tabs>
        <w:ind w:left="7080" w:right="-3"/>
        <w:jc w:val="both"/>
        <w:rPr>
          <w:sz w:val="22"/>
          <w:szCs w:val="22"/>
        </w:rPr>
      </w:pP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>IBRÁNY VÁROS ÖNKORMÁNYZATA KÉPVISELŐ TESTÜLETÉNEK</w:t>
      </w: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  <w:proofErr w:type="gramStart"/>
      <w:r>
        <w:rPr>
          <w:b w:val="0"/>
          <w:i w:val="0"/>
          <w:iCs/>
          <w:szCs w:val="24"/>
          <w:u w:val="none"/>
        </w:rPr>
        <w:t>….</w:t>
      </w:r>
      <w:proofErr w:type="gramEnd"/>
      <w:r>
        <w:rPr>
          <w:b w:val="0"/>
          <w:i w:val="0"/>
          <w:iCs/>
          <w:szCs w:val="24"/>
          <w:u w:val="none"/>
        </w:rPr>
        <w:t>/2019. (….) önkormányzati rendelete</w:t>
      </w: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>A településkép védelméről szóló 24/2017. (X.31) önkormányzati rendelet módosításáról</w:t>
      </w:r>
    </w:p>
    <w:p w:rsidR="008E58F6" w:rsidRDefault="008E58F6" w:rsidP="008E58F6">
      <w:pPr>
        <w:pStyle w:val="Cm"/>
        <w:rPr>
          <w:b w:val="0"/>
          <w:i w:val="0"/>
          <w:iCs/>
          <w:szCs w:val="24"/>
          <w:u w:val="none"/>
        </w:rPr>
      </w:pPr>
    </w:p>
    <w:p w:rsidR="008E58F6" w:rsidRDefault="008E58F6" w:rsidP="008E58F6"/>
    <w:p w:rsidR="008E58F6" w:rsidRDefault="008E58F6" w:rsidP="008E58F6">
      <w:pPr>
        <w:jc w:val="both"/>
      </w:pPr>
      <w:r>
        <w:t>Ibrány Város Önkormányzat Képviselő-testülete a településkép védelméről szóló 2016. évi LXXIV. törvény 12. § (2) bekezdésében kapott felhatalmazás alapján, a Magyarország helyi önkormányzatairól szóló 2011. évi CLXXXIX. törvény 13. § (1) bekezdés 1. pontjában, valamint az épített környezet alakításáról és védelméről szóló 1997. évi LXXVIII. törvény 57. § (2) és (3) bekezdésében meghatározott feladatkörében eljárva – a településfejlesztési koncepcióról, az integrált településfejlesztési stratégiáról és a településrendezési eszközökről, valamint egyes településrendezési sajátos jogintézményekről szóló 314/2012. (XI. 8.) Korm. rendelet 43/A. §-</w:t>
      </w:r>
      <w:proofErr w:type="spellStart"/>
      <w:r>
        <w:t>ában</w:t>
      </w:r>
      <w:proofErr w:type="spellEnd"/>
      <w:r>
        <w:t xml:space="preserve"> biztosított véleményezési jogkörében eljáró 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az állami főépítészi hatáskörében eljáró Szabolcs-Szatmár-Bereg Megyei Kormányhivatal;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Nemzeti Média- és Hírközlési Hatóság;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Hortobágyi Nemzeti Park Igazgatóság;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Miniszterelnökség, mint a kulturális örökség védelméért felelős miniszter, valamint</w:t>
      </w:r>
    </w:p>
    <w:p w:rsidR="008E58F6" w:rsidRDefault="008E58F6" w:rsidP="008E58F6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az erről szóló külön önkormányzati rendeletben partnerségi egyeztetésre megjelölt partnerek </w:t>
      </w:r>
    </w:p>
    <w:p w:rsidR="008E58F6" w:rsidRDefault="008E58F6" w:rsidP="008E58F6">
      <w:pPr>
        <w:jc w:val="both"/>
      </w:pPr>
      <w:r>
        <w:t>véleményének kikérésével – a következőket rendeli el:</w:t>
      </w:r>
    </w:p>
    <w:p w:rsidR="008E58F6" w:rsidRDefault="008E58F6" w:rsidP="008E58F6">
      <w:pPr>
        <w:jc w:val="center"/>
        <w:rPr>
          <w:b/>
          <w:bCs/>
        </w:rPr>
      </w:pPr>
    </w:p>
    <w:p w:rsidR="008E58F6" w:rsidRDefault="008E58F6" w:rsidP="008E58F6">
      <w:pPr>
        <w:jc w:val="both"/>
      </w:pPr>
    </w:p>
    <w:p w:rsidR="008E58F6" w:rsidRDefault="008E58F6" w:rsidP="008E58F6">
      <w:pPr>
        <w:numPr>
          <w:ilvl w:val="0"/>
          <w:numId w:val="2"/>
        </w:numPr>
        <w:jc w:val="center"/>
      </w:pPr>
      <w:r>
        <w:t>§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>A településkép védelméről szóló 24/2017. (X.31) önkormányzati rendelet (továbbiakban: Rendelet) 13.§ és 14. §-</w:t>
      </w:r>
      <w:proofErr w:type="spellStart"/>
      <w:r>
        <w:rPr>
          <w:bCs/>
          <w:i w:val="0"/>
          <w:iCs/>
          <w:szCs w:val="24"/>
          <w:u w:val="none"/>
        </w:rPr>
        <w:t>ai</w:t>
      </w:r>
      <w:proofErr w:type="spellEnd"/>
      <w:r>
        <w:rPr>
          <w:bCs/>
          <w:i w:val="0"/>
          <w:iCs/>
          <w:szCs w:val="24"/>
          <w:u w:val="none"/>
        </w:rPr>
        <w:t xml:space="preserve"> helyébe a következő rendelkezés lép: 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A beépítésre szánt meghatározó területekre vonatkozó területi és egyedi építészeti követelmények:</w:t>
      </w:r>
    </w:p>
    <w:p w:rsidR="008E58F6" w:rsidRDefault="008E58F6" w:rsidP="008E58F6">
      <w:pPr>
        <w:pStyle w:val="Cm"/>
        <w:jc w:val="both"/>
        <w:rPr>
          <w:b w:val="0"/>
          <w:szCs w:val="24"/>
          <w:u w:val="none"/>
        </w:rPr>
      </w:pPr>
    </w:p>
    <w:p w:rsidR="008E58F6" w:rsidRDefault="008E58F6" w:rsidP="008E58F6">
      <w:pPr>
        <w:jc w:val="both"/>
      </w:pPr>
      <w:r>
        <w:rPr>
          <w:b/>
          <w:bCs/>
        </w:rPr>
        <w:t xml:space="preserve">„13.§ (1.) </w:t>
      </w:r>
      <w:r>
        <w:t xml:space="preserve">A településképi szempontból meghatározó területekre vonatkozó egyedi építészeti követelmények a </w:t>
      </w:r>
      <w:proofErr w:type="spellStart"/>
      <w:r>
        <w:t>következőek</w:t>
      </w:r>
      <w:proofErr w:type="spellEnd"/>
      <w:r>
        <w:t>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a)</w:t>
      </w:r>
      <w:r>
        <w:t xml:space="preserve"> Rikító színű fémlemez, cserepes lemez fedés nem alkalmazható.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(2) </w:t>
      </w:r>
      <w:r>
        <w:t xml:space="preserve">Az épület szélességének, hosszanti méretének, arányainak megválasztása a környezet kialakult állapotához igazodjon. A heterogén tömegformálás miatt egyedi követelményt nem állapít meg a </w:t>
      </w:r>
      <w:proofErr w:type="spellStart"/>
      <w:r>
        <w:t>Tkr</w:t>
      </w:r>
      <w:proofErr w:type="spellEnd"/>
      <w:r>
        <w:t>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(3) </w:t>
      </w:r>
      <w:r>
        <w:t xml:space="preserve">Az építési telken tervezett építési tevékenység településképbe illesztésének biztosítása érdekében </w:t>
      </w:r>
      <w:r>
        <w:rPr>
          <w:b/>
          <w:bCs/>
        </w:rPr>
        <w:t>tilos</w:t>
      </w:r>
      <w:r>
        <w:t xml:space="preserve"> </w:t>
      </w:r>
      <w:r>
        <w:rPr>
          <w:b/>
          <w:bCs/>
        </w:rPr>
        <w:t>jelentősen eltérni a környezetében lévő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a) </w:t>
      </w:r>
      <w:r>
        <w:t xml:space="preserve">tetőidomoktól, azok </w:t>
      </w:r>
      <w:proofErr w:type="gramStart"/>
      <w:r>
        <w:t>formáitól,  főgerinc</w:t>
      </w:r>
      <w:proofErr w:type="gramEnd"/>
      <w:r>
        <w:t xml:space="preserve"> irányoktól;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b) </w:t>
      </w:r>
      <w:r>
        <w:t>kialakult párkánymagasságoktól;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c) </w:t>
      </w:r>
      <w:r>
        <w:t>tetőfelépítmények jellegétől, arányaitól;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d) </w:t>
      </w:r>
      <w:r>
        <w:t>homlokzati arányoktól, tömegarányoktól.</w:t>
      </w:r>
    </w:p>
    <w:p w:rsidR="008E58F6" w:rsidRDefault="008E58F6" w:rsidP="008E58F6">
      <w:pPr>
        <w:jc w:val="both"/>
      </w:pPr>
      <w:r>
        <w:rPr>
          <w:b/>
          <w:bCs/>
        </w:rPr>
        <w:t>(4)</w:t>
      </w:r>
      <w:r>
        <w:t xml:space="preserve"> Homlokzatok kialakítására a településrész heterogén megjelenése miatt nem állapít meg egyedi követelményt. A környezethez való illeszkedés határozza meg az egyedi homlokzatkialakítás módját, a következők szerint: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lastRenderedPageBreak/>
        <w:t xml:space="preserve">a) </w:t>
      </w:r>
      <w:r>
        <w:t>Az illeszkedés érdekében megengedett a településrészen jellemző homlokzati nyílások arányrendszere, teljes homlokzati felülethez való aránya, a homlokzati díszítő elemek és tagozatok, továbbá színezés használata.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b) </w:t>
      </w:r>
      <w:r>
        <w:t>A tetőszerkezet kialakítása, hajlásszöge, a tetőgerinc magassága, tetőfelépítménye, anyaghasználata, annak színhasználata során megengedett a környezet adottságaihoz illeszkedő, akár lépcsőzetes magasságok alkalmazása is.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 xml:space="preserve">c) </w:t>
      </w:r>
      <w:r>
        <w:t xml:space="preserve">Az épület-ornamentika (díszítőelemek), anyaghasználat, homlokzati felületi megjelenés tekintetében minden olyan megoldás megengedett, ami az </w:t>
      </w:r>
      <w:proofErr w:type="gramStart"/>
      <w:r>
        <w:t>épülethez  arányosnak</w:t>
      </w:r>
      <w:proofErr w:type="gramEnd"/>
      <w:r>
        <w:t xml:space="preserve"> minősül, illetve illeszkedik  a környezetéhez.</w:t>
      </w:r>
    </w:p>
    <w:p w:rsidR="008E58F6" w:rsidRDefault="008E58F6" w:rsidP="008E58F6">
      <w:pPr>
        <w:jc w:val="both"/>
      </w:pPr>
      <w:r>
        <w:rPr>
          <w:b/>
          <w:bCs/>
        </w:rPr>
        <w:t>(5)</w:t>
      </w:r>
      <w:r>
        <w:t xml:space="preserve"> Magastetős épületen, utcaképben megjelenő napelem, napkollektor a tetősíktól eltérő hajlásszögben nem helyezhető el. </w:t>
      </w:r>
    </w:p>
    <w:p w:rsidR="008E58F6" w:rsidRDefault="008E58F6" w:rsidP="008E58F6">
      <w:pPr>
        <w:jc w:val="both"/>
      </w:pPr>
      <w:r>
        <w:rPr>
          <w:b/>
          <w:bCs/>
        </w:rPr>
        <w:t>14. §</w:t>
      </w:r>
      <w:r>
        <w:t xml:space="preserve"> (1) Az építményeket úgy lehet elhelyezni, hogy a lehető legnagyobb zöldfelület kialakítására nyíljon lehetőség.</w:t>
      </w:r>
    </w:p>
    <w:p w:rsidR="008E58F6" w:rsidRDefault="008E58F6" w:rsidP="008E58F6">
      <w:pPr>
        <w:jc w:val="both"/>
      </w:pPr>
      <w:r>
        <w:t xml:space="preserve">A zöldfelület kialakításánál: </w:t>
      </w:r>
    </w:p>
    <w:p w:rsidR="008E58F6" w:rsidRDefault="008E58F6" w:rsidP="008E58F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táj-és termőhelyi adottságoknak megfelelő fás szárú növények telepíthetők,</w:t>
      </w:r>
    </w:p>
    <w:p w:rsidR="008E58F6" w:rsidRDefault="008E58F6" w:rsidP="008E58F6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fás szárú növények a következő távolságok </w:t>
      </w:r>
      <w:proofErr w:type="gramStart"/>
      <w:r>
        <w:rPr>
          <w:rFonts w:ascii="Times New Roman" w:hAnsi="Times New Roman"/>
        </w:rPr>
        <w:t>figyelembe vételével</w:t>
      </w:r>
      <w:proofErr w:type="gramEnd"/>
      <w:r>
        <w:rPr>
          <w:rFonts w:ascii="Times New Roman" w:hAnsi="Times New Roman"/>
        </w:rPr>
        <w:t xml:space="preserve"> telepíthetők: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- 1,5 méternél alacsonyabb sövény, bokor a telekhatártól legalább 0,5 méter, az építménytől legalább 2,0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- 1,5 méternél magasabb sövény és 4,0 méternél alacsonyabb fa a telekhatártól legalább 2,0 méter, az építménytől legalább 3,0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egyéb fa (a diófa és a hasonlóan magasra, terebélyesre </w:t>
      </w:r>
      <w:proofErr w:type="spellStart"/>
      <w:r>
        <w:rPr>
          <w:rFonts w:ascii="Times New Roman" w:hAnsi="Times New Roman"/>
        </w:rPr>
        <w:t>növő</w:t>
      </w:r>
      <w:proofErr w:type="spellEnd"/>
      <w:r>
        <w:rPr>
          <w:rFonts w:ascii="Times New Roman" w:hAnsi="Times New Roman"/>
        </w:rPr>
        <w:t xml:space="preserve"> fák kivételével) a telekhatártól legalább 3,0 méter, az építménytől legalább 4,0 méter távolságra ültethető,</w:t>
      </w:r>
    </w:p>
    <w:p w:rsidR="008E58F6" w:rsidRDefault="008E58F6" w:rsidP="008E58F6">
      <w:pPr>
        <w:pStyle w:val="Listaszerbekezds"/>
        <w:spacing w:after="0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diófa és a hasonlóan magasra, terebélyesre </w:t>
      </w:r>
      <w:proofErr w:type="spellStart"/>
      <w:r>
        <w:rPr>
          <w:rFonts w:ascii="Times New Roman" w:hAnsi="Times New Roman"/>
        </w:rPr>
        <w:t>növő</w:t>
      </w:r>
      <w:proofErr w:type="spellEnd"/>
      <w:r>
        <w:rPr>
          <w:rFonts w:ascii="Times New Roman" w:hAnsi="Times New Roman"/>
        </w:rPr>
        <w:t xml:space="preserve"> fa a telekhatártól legalább 5,0 méter, az építménytől legalább 7,0 méter távolságra ültethető.</w:t>
      </w:r>
    </w:p>
    <w:p w:rsidR="008E58F6" w:rsidRDefault="008E58F6" w:rsidP="008E58F6">
      <w:pPr>
        <w:jc w:val="both"/>
      </w:pPr>
      <w:r>
        <w:rPr>
          <w:b/>
          <w:bCs/>
        </w:rPr>
        <w:t xml:space="preserve"> (2) </w:t>
      </w:r>
      <w:r>
        <w:t>Épületen, építményen, előkertben az energia fogyasztást mérő berendezések és gépészeti berendezések takarás nélkül nem helyezhetők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(3) </w:t>
      </w:r>
      <w:r>
        <w:t>Épületeken antenna, hírközlési berendezés – a hátsókertre néző homlokzat kivételével - nem helyezhető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(4) </w:t>
      </w:r>
      <w:r>
        <w:t>A bejárati elő lépcsőt, az akadálymentesítésre szolgáló építményt (rámpát és elemeit), közterületbe nyúló épületrészt nem lehet úgy kialakítani, hogy az a kapcsolódó közterület funkcionális használatát akadályozza, és ne igazodjon annak használatához.”</w:t>
      </w:r>
    </w:p>
    <w:p w:rsidR="008E58F6" w:rsidRDefault="008E58F6" w:rsidP="008E58F6">
      <w:pPr>
        <w:pStyle w:val="Cm"/>
        <w:jc w:val="both"/>
        <w:rPr>
          <w:b w:val="0"/>
          <w:i w:val="0"/>
          <w:iCs/>
          <w:szCs w:val="24"/>
          <w:u w:val="none"/>
        </w:rPr>
      </w:pPr>
    </w:p>
    <w:p w:rsidR="008E58F6" w:rsidRDefault="008E58F6" w:rsidP="008E58F6">
      <w:pPr>
        <w:pStyle w:val="NormlWeb"/>
        <w:jc w:val="center"/>
      </w:pPr>
    </w:p>
    <w:p w:rsidR="008E58F6" w:rsidRDefault="008E58F6" w:rsidP="008E58F6">
      <w:pPr>
        <w:pStyle w:val="NormlWeb"/>
        <w:jc w:val="center"/>
      </w:pPr>
      <w:r>
        <w:t>2.§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 xml:space="preserve">A Rendelet 20. § (1) és (2) bekezdése helyébe a következő rendelkezés lép: </w:t>
      </w:r>
    </w:p>
    <w:p w:rsidR="008E58F6" w:rsidRDefault="008E58F6" w:rsidP="008E58F6">
      <w:pPr>
        <w:pStyle w:val="Cm"/>
        <w:jc w:val="both"/>
        <w:rPr>
          <w:bCs/>
          <w:i w:val="0"/>
          <w:iCs/>
          <w:szCs w:val="24"/>
          <w:u w:val="none"/>
        </w:rPr>
      </w:pPr>
    </w:p>
    <w:p w:rsidR="008E58F6" w:rsidRDefault="008E58F6" w:rsidP="008E58F6">
      <w:pPr>
        <w:pStyle w:val="NormlWeb"/>
        <w:jc w:val="both"/>
        <w:rPr>
          <w:i/>
          <w:iCs/>
        </w:rPr>
      </w:pPr>
      <w:r>
        <w:rPr>
          <w:i/>
          <w:iCs/>
        </w:rPr>
        <w:t>Reklámhordozókra és egyéb műszaki berendezésekre vonatkozó településképi követelmények</w:t>
      </w:r>
    </w:p>
    <w:p w:rsidR="008E58F6" w:rsidRDefault="008E58F6" w:rsidP="008E58F6">
      <w:pPr>
        <w:pStyle w:val="cf0"/>
        <w:shd w:val="clear" w:color="auto" w:fill="FFFFFF"/>
        <w:spacing w:before="0" w:beforeAutospacing="0" w:after="0" w:afterAutospacing="0"/>
        <w:jc w:val="both"/>
        <w:rPr>
          <w:rFonts w:cs="Calibri"/>
        </w:rPr>
      </w:pPr>
      <w:r>
        <w:t>„</w:t>
      </w:r>
      <w:r>
        <w:rPr>
          <w:rFonts w:cs="Calibri"/>
          <w:b/>
          <w:bCs/>
        </w:rPr>
        <w:t>20. § (1) A</w:t>
      </w:r>
      <w:r>
        <w:rPr>
          <w:rFonts w:cs="Calibri"/>
        </w:rPr>
        <w:t xml:space="preserve"> település szempontjából jelentős eseményről való tájékoztatás érdekében az esemény napját megelőző legfeljebb 5 naptári hét időszakban az eseményre vonatkozó hirdetmények elhelyezhetők a településen. </w:t>
      </w:r>
    </w:p>
    <w:p w:rsidR="008E58F6" w:rsidRDefault="008E58F6" w:rsidP="008E58F6">
      <w:pPr>
        <w:pStyle w:val="cf0"/>
        <w:shd w:val="clear" w:color="auto" w:fill="FFFFFF"/>
        <w:spacing w:before="0" w:beforeAutospacing="0" w:after="0" w:afterAutospacing="0"/>
        <w:jc w:val="both"/>
        <w:rPr>
          <w:rFonts w:cs="Calibri"/>
        </w:rPr>
      </w:pPr>
      <w:r>
        <w:rPr>
          <w:rFonts w:cs="Calibri"/>
          <w:b/>
          <w:bCs/>
        </w:rPr>
        <w:t xml:space="preserve">(2) </w:t>
      </w:r>
      <w:r>
        <w:rPr>
          <w:rFonts w:cs="Calibri"/>
        </w:rPr>
        <w:t>Az (1) bekezdésben foglalt időszak összesen egy naptári évre maximum 12 naptári hét időszakra terjedhet ki. „</w:t>
      </w:r>
    </w:p>
    <w:p w:rsidR="008E58F6" w:rsidRDefault="008E58F6" w:rsidP="008E58F6">
      <w:pPr>
        <w:pStyle w:val="NormlWeb"/>
        <w:jc w:val="center"/>
      </w:pPr>
      <w:r>
        <w:t>3.§</w:t>
      </w:r>
    </w:p>
    <w:p w:rsidR="008E58F6" w:rsidRDefault="008E58F6" w:rsidP="008E58F6">
      <w:pPr>
        <w:pStyle w:val="NormlWeb"/>
        <w:jc w:val="both"/>
        <w:rPr>
          <w:b/>
          <w:bCs/>
        </w:rPr>
      </w:pPr>
      <w:r>
        <w:rPr>
          <w:b/>
          <w:bCs/>
        </w:rPr>
        <w:lastRenderedPageBreak/>
        <w:t>A Rendelet VIII. fejezetének címe helyébe és a 25. § helyébe a következő rendelkezés lép:</w:t>
      </w:r>
    </w:p>
    <w:p w:rsidR="008E58F6" w:rsidRDefault="008E58F6" w:rsidP="008E58F6">
      <w:pPr>
        <w:jc w:val="center"/>
        <w:rPr>
          <w:b/>
          <w:bCs/>
        </w:rPr>
      </w:pPr>
      <w:proofErr w:type="gramStart"/>
      <w:r>
        <w:rPr>
          <w:b/>
          <w:bCs/>
        </w:rPr>
        <w:t>„ VIII</w:t>
      </w:r>
      <w:proofErr w:type="gramEnd"/>
      <w:r>
        <w:rPr>
          <w:b/>
          <w:bCs/>
        </w:rPr>
        <w:t>. fejezet</w:t>
      </w:r>
    </w:p>
    <w:p w:rsidR="008E58F6" w:rsidRDefault="008E58F6" w:rsidP="008E58F6">
      <w:pPr>
        <w:jc w:val="center"/>
        <w:rPr>
          <w:b/>
          <w:bCs/>
        </w:rPr>
      </w:pPr>
      <w:r>
        <w:rPr>
          <w:b/>
          <w:bCs/>
        </w:rPr>
        <w:t>A TELEPÜLÉSKÉPI KÖTELEZÉS ÉS TELEPÜLÉSKÉP VÉDELMI BÍRSÁG</w:t>
      </w: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  <w:r>
        <w:rPr>
          <w:b/>
          <w:bCs/>
        </w:rPr>
        <w:t xml:space="preserve">25 § (1) </w:t>
      </w:r>
      <w:r>
        <w:t xml:space="preserve">A településkép érvényesítési eszközök döntéseinek betartását </w:t>
      </w:r>
      <w:proofErr w:type="gramStart"/>
      <w:r>
        <w:t>a  polgármester</w:t>
      </w:r>
      <w:proofErr w:type="gramEnd"/>
      <w:r>
        <w:t xml:space="preserve"> - ellenőrzi. A mulasztásokat - amennyiben tudomására jut - kivizsgálja, és az általános közigazgatási rendtartásról szóló 2016. évi CL. törvény    alapján jár el.</w:t>
      </w:r>
    </w:p>
    <w:p w:rsidR="008E58F6" w:rsidRDefault="008E58F6" w:rsidP="008E58F6">
      <w:pPr>
        <w:jc w:val="both"/>
      </w:pPr>
      <w:r>
        <w:rPr>
          <w:b/>
          <w:bCs/>
        </w:rPr>
        <w:t xml:space="preserve">(2) </w:t>
      </w:r>
      <w:r>
        <w:t>A településkép érvényesítési eszközök határozatának, emlékeztetőjének be nem tartása esetén, a Polgármester a (3) bekezdésben meghatározott figyelmeztetést tartalmazó felszólítást követően településképvédelmi bírságot szabhat ki az ingatlan tulajdonosára, mely többször is kivethető, amennyiben a jogszerűtlen állapot fennmarad.</w:t>
      </w:r>
    </w:p>
    <w:p w:rsidR="008E58F6" w:rsidRDefault="008E58F6" w:rsidP="008E58F6">
      <w:pPr>
        <w:jc w:val="both"/>
        <w:rPr>
          <w:b/>
          <w:bCs/>
        </w:rPr>
      </w:pPr>
      <w:r>
        <w:rPr>
          <w:b/>
          <w:bCs/>
        </w:rPr>
        <w:t xml:space="preserve"> (3) </w:t>
      </w:r>
      <w:r>
        <w:t xml:space="preserve">A településkép érvényesítési eszközök határozatának, emlékeztetőjének be nem tartása esetén az eljárás a mulasztás jogkövetkezményeire történő figyelmeztetést tartalmazó felszólító levéllel indul. Amennyiben az elmulasztásról szóló tudomásszerzést követően 8 napon belül nem reagál az ingatlan tulajdonosa a felszólításra, a Polgármester településkép védelmi bírságot szabhat </w:t>
      </w:r>
      <w:proofErr w:type="gramStart"/>
      <w:r>
        <w:t>ki .</w:t>
      </w:r>
      <w:proofErr w:type="gramEnd"/>
    </w:p>
    <w:p w:rsidR="008E58F6" w:rsidRDefault="008E58F6" w:rsidP="008E58F6">
      <w:pPr>
        <w:jc w:val="both"/>
      </w:pPr>
      <w:r>
        <w:rPr>
          <w:b/>
          <w:bCs/>
        </w:rPr>
        <w:t xml:space="preserve">(4) </w:t>
      </w:r>
      <w:r>
        <w:t>A településkép védelmi bírság összege: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a)</w:t>
      </w:r>
      <w:r>
        <w:t xml:space="preserve"> településképi szempontból meghatározó területeken területi és egyedi építészeti követelmények be nem tartása esetén, amennyiben az egyedi védett építményt érint 100.000 forint,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b)</w:t>
      </w:r>
      <w:r>
        <w:t xml:space="preserve"> településképi szempontból meghatározó területeken területi és egyedi építészeti követelmények be nem tartása esetén, amennyiben az egyedi védett építményt nem érint 75.000 forint,</w:t>
      </w:r>
    </w:p>
    <w:p w:rsidR="008E58F6" w:rsidRDefault="008E58F6" w:rsidP="008E58F6">
      <w:pPr>
        <w:ind w:left="708"/>
        <w:jc w:val="both"/>
      </w:pPr>
      <w:r>
        <w:rPr>
          <w:b/>
          <w:bCs/>
        </w:rPr>
        <w:t>c)</w:t>
      </w:r>
      <w:r>
        <w:t xml:space="preserve"> egyéb településképi és egyéb műszaki berendezésekre vonatkozó követelmény be nem tartása esetén 50.000 forint.”</w:t>
      </w: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</w:p>
    <w:p w:rsidR="008E58F6" w:rsidRDefault="008E58F6" w:rsidP="008E58F6">
      <w:pPr>
        <w:jc w:val="both"/>
      </w:pPr>
    </w:p>
    <w:p w:rsidR="008E58F6" w:rsidRDefault="008E58F6" w:rsidP="008E58F6">
      <w:pPr>
        <w:jc w:val="center"/>
      </w:pPr>
      <w:r>
        <w:t>4.§</w:t>
      </w:r>
    </w:p>
    <w:p w:rsidR="008E58F6" w:rsidRDefault="008E58F6" w:rsidP="008E58F6">
      <w:pPr>
        <w:jc w:val="center"/>
      </w:pPr>
    </w:p>
    <w:p w:rsidR="008E58F6" w:rsidRDefault="008E58F6" w:rsidP="008E58F6">
      <w:pPr>
        <w:pStyle w:val="Cm"/>
        <w:rPr>
          <w:b w:val="0"/>
          <w:i w:val="0"/>
          <w:szCs w:val="24"/>
          <w:u w:val="none"/>
        </w:rPr>
      </w:pPr>
    </w:p>
    <w:p w:rsidR="008E58F6" w:rsidRDefault="008E58F6" w:rsidP="00A9427F">
      <w:pPr>
        <w:pStyle w:val="Cm"/>
        <w:numPr>
          <w:ilvl w:val="0"/>
          <w:numId w:val="4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u w:val="none"/>
        </w:rPr>
        <w:t xml:space="preserve">Ez a rendelet a </w:t>
      </w:r>
      <w:proofErr w:type="spellStart"/>
      <w:r>
        <w:rPr>
          <w:b w:val="0"/>
          <w:i w:val="0"/>
          <w:u w:val="none"/>
        </w:rPr>
        <w:t>kihírdetését</w:t>
      </w:r>
      <w:proofErr w:type="spellEnd"/>
      <w:r>
        <w:rPr>
          <w:b w:val="0"/>
          <w:i w:val="0"/>
          <w:u w:val="none"/>
        </w:rPr>
        <w:t xml:space="preserve"> követő 31. napon lép hatályba és a hatálybalépését követő napon egyidejűleg hatályát </w:t>
      </w:r>
      <w:proofErr w:type="gramStart"/>
      <w:r>
        <w:rPr>
          <w:b w:val="0"/>
          <w:i w:val="0"/>
          <w:u w:val="none"/>
        </w:rPr>
        <w:t>veszti.</w:t>
      </w:r>
      <w:r>
        <w:rPr>
          <w:b w:val="0"/>
          <w:i w:val="0"/>
          <w:szCs w:val="24"/>
          <w:u w:val="none"/>
        </w:rPr>
        <w:t>.</w:t>
      </w:r>
      <w:proofErr w:type="gramEnd"/>
    </w:p>
    <w:p w:rsidR="00A9427F" w:rsidRDefault="00A9427F" w:rsidP="00A9427F">
      <w:pPr>
        <w:pStyle w:val="Cm"/>
        <w:numPr>
          <w:ilvl w:val="0"/>
          <w:numId w:val="4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A rendelet hatálybalépésével egyidejűleg hatályát veszti</w:t>
      </w:r>
      <w:r w:rsidR="00AA6727">
        <w:rPr>
          <w:b w:val="0"/>
          <w:i w:val="0"/>
          <w:szCs w:val="24"/>
          <w:u w:val="none"/>
        </w:rPr>
        <w:t xml:space="preserve"> a Rendelet</w:t>
      </w:r>
      <w:r>
        <w:rPr>
          <w:b w:val="0"/>
          <w:i w:val="0"/>
          <w:szCs w:val="24"/>
          <w:u w:val="none"/>
        </w:rPr>
        <w:t>:</w:t>
      </w:r>
    </w:p>
    <w:p w:rsidR="00A9427F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2.§ (2) bekezdése</w:t>
      </w:r>
    </w:p>
    <w:p w:rsidR="004E55B8" w:rsidRPr="006979E9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color w:val="FF0000"/>
          <w:szCs w:val="24"/>
          <w:u w:val="none"/>
        </w:rPr>
      </w:pPr>
      <w:r w:rsidRPr="006979E9">
        <w:rPr>
          <w:b w:val="0"/>
          <w:i w:val="0"/>
          <w:color w:val="FF0000"/>
          <w:szCs w:val="24"/>
          <w:u w:val="none"/>
        </w:rPr>
        <w:t>5.§ (2) bekezdésének a) és k) pontja</w:t>
      </w:r>
    </w:p>
    <w:p w:rsidR="00A9427F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12.§ (1) a) pontja</w:t>
      </w:r>
    </w:p>
    <w:p w:rsidR="004E55B8" w:rsidRDefault="00A9427F" w:rsidP="00A9427F">
      <w:pPr>
        <w:pStyle w:val="Cm"/>
        <w:numPr>
          <w:ilvl w:val="0"/>
          <w:numId w:val="5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21.§ (5) bekezdése</w:t>
      </w:r>
    </w:p>
    <w:p w:rsidR="004E55B8" w:rsidRPr="006979E9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color w:val="FF0000"/>
          <w:szCs w:val="24"/>
          <w:u w:val="none"/>
        </w:rPr>
      </w:pPr>
      <w:bookmarkStart w:id="0" w:name="_GoBack"/>
      <w:r w:rsidRPr="006979E9">
        <w:rPr>
          <w:b w:val="0"/>
          <w:i w:val="0"/>
          <w:color w:val="FF0000"/>
          <w:szCs w:val="24"/>
          <w:u w:val="none"/>
        </w:rPr>
        <w:t xml:space="preserve">23.§ (3) bekezdés </w:t>
      </w:r>
      <w:proofErr w:type="spellStart"/>
      <w:r w:rsidRPr="006979E9">
        <w:rPr>
          <w:b w:val="0"/>
          <w:i w:val="0"/>
          <w:color w:val="FF0000"/>
          <w:szCs w:val="24"/>
          <w:u w:val="none"/>
        </w:rPr>
        <w:t>ac</w:t>
      </w:r>
      <w:proofErr w:type="spellEnd"/>
      <w:r w:rsidRPr="006979E9">
        <w:rPr>
          <w:b w:val="0"/>
          <w:i w:val="0"/>
          <w:color w:val="FF0000"/>
          <w:szCs w:val="24"/>
          <w:u w:val="none"/>
        </w:rPr>
        <w:t>) pontja</w:t>
      </w:r>
    </w:p>
    <w:p w:rsidR="00A9427F" w:rsidRPr="006979E9" w:rsidRDefault="004E55B8" w:rsidP="00A9427F">
      <w:pPr>
        <w:pStyle w:val="Cm"/>
        <w:numPr>
          <w:ilvl w:val="0"/>
          <w:numId w:val="5"/>
        </w:numPr>
        <w:jc w:val="both"/>
        <w:rPr>
          <w:b w:val="0"/>
          <w:i w:val="0"/>
          <w:color w:val="FF0000"/>
          <w:szCs w:val="24"/>
          <w:u w:val="none"/>
        </w:rPr>
      </w:pPr>
      <w:r w:rsidRPr="006979E9">
        <w:rPr>
          <w:b w:val="0"/>
          <w:i w:val="0"/>
          <w:color w:val="FF0000"/>
          <w:szCs w:val="24"/>
          <w:u w:val="none"/>
        </w:rPr>
        <w:t>és 24. § (2) bekezdés c) pontja</w:t>
      </w:r>
      <w:r w:rsidR="00A9427F" w:rsidRPr="006979E9">
        <w:rPr>
          <w:b w:val="0"/>
          <w:i w:val="0"/>
          <w:color w:val="FF0000"/>
          <w:szCs w:val="24"/>
          <w:u w:val="none"/>
        </w:rPr>
        <w:t xml:space="preserve">. </w:t>
      </w:r>
    </w:p>
    <w:bookmarkEnd w:id="0"/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Ibrány, 2019. </w:t>
      </w:r>
      <w:r w:rsidR="00CD7B22">
        <w:rPr>
          <w:b w:val="0"/>
          <w:i w:val="0"/>
          <w:szCs w:val="24"/>
          <w:u w:val="none"/>
        </w:rPr>
        <w:t>szeptember</w:t>
      </w:r>
      <w:proofErr w:type="gramStart"/>
      <w:r w:rsidR="00CD7B22">
        <w:rPr>
          <w:b w:val="0"/>
          <w:i w:val="0"/>
          <w:szCs w:val="24"/>
          <w:u w:val="none"/>
        </w:rPr>
        <w:t xml:space="preserve"> ..</w:t>
      </w:r>
      <w:proofErr w:type="gramEnd"/>
      <w:r>
        <w:rPr>
          <w:b w:val="0"/>
          <w:i w:val="0"/>
          <w:szCs w:val="24"/>
          <w:u w:val="none"/>
        </w:rPr>
        <w:t xml:space="preserve">                                               </w:t>
      </w: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</w:p>
    <w:p w:rsidR="008E58F6" w:rsidRDefault="008E58F6" w:rsidP="008E58F6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         Trencsényi Imre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 xml:space="preserve">.                        Bakosiné Márton Mária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>.</w:t>
      </w:r>
    </w:p>
    <w:p w:rsidR="008E58F6" w:rsidRDefault="008E58F6" w:rsidP="008E58F6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Polgármester                                         jegyző</w:t>
      </w:r>
    </w:p>
    <w:p w:rsidR="008E58F6" w:rsidRDefault="008E58F6" w:rsidP="008E58F6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6C0E14" w:rsidRDefault="006C0E14"/>
    <w:sectPr w:rsidR="006C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E04"/>
    <w:multiLevelType w:val="hybridMultilevel"/>
    <w:tmpl w:val="3D2088C4"/>
    <w:lvl w:ilvl="0" w:tplc="09CE5F4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07C2"/>
    <w:multiLevelType w:val="hybridMultilevel"/>
    <w:tmpl w:val="6672AF18"/>
    <w:lvl w:ilvl="0" w:tplc="57B40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01D8D"/>
    <w:multiLevelType w:val="hybridMultilevel"/>
    <w:tmpl w:val="737CE8BA"/>
    <w:lvl w:ilvl="0" w:tplc="4EB6306E">
      <w:start w:val="1"/>
      <w:numFmt w:val="lowerLetter"/>
      <w:lvlText w:val="%1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CFF75DC"/>
    <w:multiLevelType w:val="hybridMultilevel"/>
    <w:tmpl w:val="657CA3AC"/>
    <w:lvl w:ilvl="0" w:tplc="5E649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6"/>
    <w:rsid w:val="00111E8B"/>
    <w:rsid w:val="004E55B8"/>
    <w:rsid w:val="006979E9"/>
    <w:rsid w:val="006C0E14"/>
    <w:rsid w:val="00730640"/>
    <w:rsid w:val="008E58F6"/>
    <w:rsid w:val="00A9427F"/>
    <w:rsid w:val="00A9534C"/>
    <w:rsid w:val="00AA6727"/>
    <w:rsid w:val="00C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4590"/>
  <w15:chartTrackingRefBased/>
  <w15:docId w15:val="{A5D58E9A-0552-444D-8966-77EAB0C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E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8E58F6"/>
    <w:pPr>
      <w:spacing w:before="100" w:beforeAutospacing="1" w:after="100" w:afterAutospacing="1"/>
    </w:pPr>
    <w:rPr>
      <w:rFonts w:eastAsia="Calibri"/>
    </w:rPr>
  </w:style>
  <w:style w:type="paragraph" w:styleId="Cm">
    <w:name w:val="Title"/>
    <w:basedOn w:val="Norml"/>
    <w:link w:val="CmChar"/>
    <w:qFormat/>
    <w:rsid w:val="008E58F6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8E58F6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8E58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aszerbekezds1"/>
    <w:locked/>
    <w:rsid w:val="008E58F6"/>
    <w:rPr>
      <w:rFonts w:ascii="Calibri" w:hAnsi="Calibri" w:cs="Calibri"/>
    </w:rPr>
  </w:style>
  <w:style w:type="paragraph" w:customStyle="1" w:styleId="Listaszerbekezds1">
    <w:name w:val="Listaszerű bekezdés1"/>
    <w:basedOn w:val="Norml"/>
    <w:link w:val="ListParagraphChar"/>
    <w:rsid w:val="008E58F6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f0">
    <w:name w:val="cf0"/>
    <w:basedOn w:val="Norml"/>
    <w:rsid w:val="008E58F6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2019-09-12T12:13:00Z</dcterms:created>
  <dcterms:modified xsi:type="dcterms:W3CDTF">2019-09-12T12:13:00Z</dcterms:modified>
</cp:coreProperties>
</file>