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03" w:rsidRDefault="001A1F03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B6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1A1F03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AF1740"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(V.27.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(II. </w:t>
      </w:r>
      <w:r w:rsidR="00275F25">
        <w:rPr>
          <w:b/>
          <w:bCs/>
          <w:sz w:val="24"/>
          <w:szCs w:val="24"/>
        </w:rPr>
        <w:t>18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18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</w:t>
      </w:r>
      <w:r w:rsidR="00275F25">
        <w:rPr>
          <w:sz w:val="24"/>
          <w:szCs w:val="24"/>
        </w:rPr>
        <w:t>9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DC2F91" w:rsidRPr="00DE6CF5" w:rsidTr="00611BE2">
        <w:trPr>
          <w:trHeight w:val="379"/>
          <w:jc w:val="center"/>
        </w:trPr>
        <w:tc>
          <w:tcPr>
            <w:tcW w:w="2624" w:type="dxa"/>
          </w:tcPr>
          <w:p w:rsidR="00DC2F91" w:rsidRPr="006167E9" w:rsidRDefault="00DC2F91" w:rsidP="0049214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9</w:t>
            </w:r>
            <w:r w:rsidR="00492140">
              <w:rPr>
                <w:rFonts w:ascii="Garamond" w:hAnsi="Garamond" w:cs="Garamond"/>
                <w:b/>
                <w:bCs/>
                <w:sz w:val="24"/>
                <w:szCs w:val="24"/>
              </w:rPr>
              <w:t>35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.230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DC2F91" w:rsidRPr="006167E9" w:rsidRDefault="00DC2F91" w:rsidP="00DC2F9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DC2F91" w:rsidRPr="00DE6CF5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DC2F91" w:rsidRPr="006167E9" w:rsidRDefault="00DC2F91" w:rsidP="0049214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1.8</w:t>
            </w:r>
            <w:r w:rsidR="00492140">
              <w:rPr>
                <w:rFonts w:ascii="Garamond" w:hAnsi="Garamond" w:cs="Garamond"/>
                <w:b/>
                <w:bCs/>
                <w:sz w:val="24"/>
                <w:szCs w:val="24"/>
              </w:rPr>
              <w:t>63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.291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C2F91" w:rsidRPr="006167E9" w:rsidRDefault="00DC2F91" w:rsidP="00DC2F9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DC2F91" w:rsidRPr="00DE6CF5" w:rsidTr="00611BE2">
        <w:trPr>
          <w:jc w:val="center"/>
        </w:trPr>
        <w:tc>
          <w:tcPr>
            <w:tcW w:w="2624" w:type="dxa"/>
          </w:tcPr>
          <w:p w:rsidR="00DC2F91" w:rsidRPr="006167E9" w:rsidRDefault="00DC2F91" w:rsidP="00DC2F9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928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061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DC2F91" w:rsidRPr="006167E9" w:rsidRDefault="00DC2F91" w:rsidP="00DC2F9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3</w:t>
            </w:r>
            <w:r w:rsidR="00492140">
              <w:rPr>
                <w:rFonts w:ascii="Garamond" w:hAnsi="Garamond" w:cs="Garamond"/>
                <w:b/>
                <w:bCs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8.</w:t>
            </w:r>
            <w:r w:rsidR="00492140">
              <w:rPr>
                <w:rFonts w:ascii="Garamond" w:hAnsi="Garamond" w:cs="Garamond"/>
                <w:b/>
                <w:bCs/>
                <w:sz w:val="24"/>
                <w:szCs w:val="24"/>
              </w:rPr>
              <w:t>944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DC2F91" w:rsidRPr="006167E9" w:rsidRDefault="00DC2F91" w:rsidP="0049214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54</w:t>
            </w:r>
            <w:r w:rsidR="00492140">
              <w:rPr>
                <w:rFonts w:ascii="Garamond" w:hAnsi="Garamond" w:cs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492140">
              <w:rPr>
                <w:rFonts w:ascii="Garamond" w:hAnsi="Garamond" w:cs="Garamond"/>
                <w:b/>
                <w:bCs/>
                <w:sz w:val="24"/>
                <w:szCs w:val="24"/>
              </w:rPr>
              <w:t>117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DC2F91" w:rsidRPr="006167E9" w:rsidRDefault="00DC2F91" w:rsidP="00DC2F9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DC2F91" w:rsidRPr="006167E9" w:rsidRDefault="00DC2F91" w:rsidP="00DC2F9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DC2F91" w:rsidRPr="006167E9" w:rsidRDefault="00DC2F91" w:rsidP="00DC2F91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 xml:space="preserve">) költségvetési maradványának felhasználását rendeli el </w:t>
      </w:r>
      <w:r w:rsidR="00DC2F91">
        <w:rPr>
          <w:sz w:val="24"/>
          <w:szCs w:val="24"/>
        </w:rPr>
        <w:t>39</w:t>
      </w:r>
      <w:r w:rsidR="00492140">
        <w:rPr>
          <w:sz w:val="24"/>
          <w:szCs w:val="24"/>
        </w:rPr>
        <w:t>5</w:t>
      </w:r>
      <w:r w:rsidR="00DC2F91">
        <w:rPr>
          <w:sz w:val="24"/>
          <w:szCs w:val="24"/>
        </w:rPr>
        <w:t>.</w:t>
      </w:r>
      <w:r w:rsidR="00492140">
        <w:rPr>
          <w:sz w:val="24"/>
          <w:szCs w:val="24"/>
        </w:rPr>
        <w:t>46</w:t>
      </w:r>
      <w:r w:rsidR="00DC2F91">
        <w:rPr>
          <w:sz w:val="24"/>
          <w:szCs w:val="24"/>
        </w:rPr>
        <w:t>2.</w:t>
      </w:r>
      <w:r w:rsidR="00492140">
        <w:rPr>
          <w:sz w:val="24"/>
          <w:szCs w:val="24"/>
        </w:rPr>
        <w:t>021</w:t>
      </w:r>
      <w:r w:rsidR="00923D1E" w:rsidRPr="00923D1E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</w:t>
      </w:r>
      <w:r w:rsidR="00923D1E" w:rsidRPr="00923D1E">
        <w:rPr>
          <w:sz w:val="24"/>
          <w:szCs w:val="24"/>
        </w:rPr>
        <w:t>55</w:t>
      </w:r>
      <w:r w:rsidR="00492140">
        <w:rPr>
          <w:sz w:val="24"/>
          <w:szCs w:val="24"/>
        </w:rPr>
        <w:t>6</w:t>
      </w:r>
      <w:r w:rsidR="00923D1E" w:rsidRPr="00923D1E">
        <w:rPr>
          <w:sz w:val="24"/>
          <w:szCs w:val="24"/>
        </w:rPr>
        <w:t>.</w:t>
      </w:r>
      <w:r w:rsidR="00492140">
        <w:rPr>
          <w:sz w:val="24"/>
          <w:szCs w:val="24"/>
        </w:rPr>
        <w:t>100</w:t>
      </w:r>
      <w:r w:rsidR="00923D1E" w:rsidRPr="00923D1E">
        <w:rPr>
          <w:sz w:val="24"/>
          <w:szCs w:val="24"/>
        </w:rPr>
        <w:t>.</w:t>
      </w:r>
      <w:r w:rsidR="00492140">
        <w:rPr>
          <w:sz w:val="24"/>
          <w:szCs w:val="24"/>
        </w:rPr>
        <w:t>39</w:t>
      </w:r>
      <w:r w:rsidR="00923D1E" w:rsidRPr="00923D1E">
        <w:rPr>
          <w:sz w:val="24"/>
          <w:szCs w:val="24"/>
        </w:rPr>
        <w:t xml:space="preserve">8 </w:t>
      </w:r>
      <w:r w:rsidR="007317BD"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DC2F91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2</w:t>
      </w:r>
      <w:r w:rsidR="00275F25">
        <w:rPr>
          <w:sz w:val="24"/>
          <w:szCs w:val="24"/>
        </w:rPr>
        <w:t>.</w:t>
      </w:r>
      <w:r w:rsidR="00923D1E">
        <w:rPr>
          <w:sz w:val="24"/>
          <w:szCs w:val="24"/>
        </w:rPr>
        <w:t>2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492140" w:rsidRDefault="0049214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9.1.1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9.2.1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492140"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492140"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492140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492140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9.4.2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15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16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492140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 xml:space="preserve">. melléklete helyébe a jelen rendelet </w:t>
      </w:r>
      <w:r w:rsidR="00492140">
        <w:rPr>
          <w:sz w:val="24"/>
          <w:szCs w:val="24"/>
        </w:rPr>
        <w:t>18</w:t>
      </w:r>
      <w:r w:rsidRPr="00F63087">
        <w:rPr>
          <w:sz w:val="24"/>
          <w:szCs w:val="24"/>
        </w:rPr>
        <w:t>. melléklete lép.</w:t>
      </w:r>
    </w:p>
    <w:p w:rsidR="00DC2F91" w:rsidRPr="00F63087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492140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D006C6" w:rsidRDefault="00D006C6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275F25">
        <w:rPr>
          <w:sz w:val="24"/>
          <w:szCs w:val="24"/>
        </w:rPr>
        <w:t>2019. má</w:t>
      </w:r>
      <w:r w:rsidR="00923D1E">
        <w:rPr>
          <w:sz w:val="24"/>
          <w:szCs w:val="24"/>
        </w:rPr>
        <w:t>jus</w:t>
      </w:r>
      <w:r w:rsidR="00275F25">
        <w:rPr>
          <w:sz w:val="24"/>
          <w:szCs w:val="24"/>
        </w:rPr>
        <w:t xml:space="preserve"> </w:t>
      </w:r>
      <w:r w:rsidR="00DC2F91">
        <w:rPr>
          <w:sz w:val="24"/>
          <w:szCs w:val="24"/>
        </w:rPr>
        <w:t>27</w:t>
      </w:r>
      <w:r w:rsidR="00275F25">
        <w:rPr>
          <w:sz w:val="24"/>
          <w:szCs w:val="24"/>
        </w:rPr>
        <w:t>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1A1F03" w:rsidRDefault="00275F25" w:rsidP="00986B24">
      <w:pPr>
        <w:pStyle w:val="Szvegtrzsbehzssal"/>
        <w:ind w:left="0"/>
        <w:jc w:val="center"/>
        <w:rPr>
          <w:b/>
          <w:sz w:val="24"/>
          <w:szCs w:val="24"/>
        </w:rPr>
      </w:pPr>
      <w:r w:rsidRPr="001A1F03">
        <w:rPr>
          <w:b/>
          <w:sz w:val="24"/>
          <w:szCs w:val="24"/>
        </w:rPr>
        <w:t xml:space="preserve">Trencsényi </w:t>
      </w:r>
      <w:proofErr w:type="gramStart"/>
      <w:r w:rsidRPr="001A1F03">
        <w:rPr>
          <w:b/>
          <w:sz w:val="24"/>
          <w:szCs w:val="24"/>
        </w:rPr>
        <w:t>Imre</w:t>
      </w:r>
      <w:r w:rsidR="00AF1740" w:rsidRPr="001A1F03">
        <w:rPr>
          <w:b/>
          <w:sz w:val="24"/>
          <w:szCs w:val="24"/>
        </w:rPr>
        <w:tab/>
      </w:r>
      <w:r w:rsidR="00AF1740" w:rsidRPr="001A1F03">
        <w:rPr>
          <w:b/>
          <w:sz w:val="24"/>
          <w:szCs w:val="24"/>
        </w:rPr>
        <w:tab/>
      </w:r>
      <w:r w:rsidR="00AF1740" w:rsidRPr="001A1F03">
        <w:rPr>
          <w:b/>
          <w:sz w:val="24"/>
          <w:szCs w:val="24"/>
        </w:rPr>
        <w:tab/>
      </w:r>
      <w:r w:rsidR="00AF1740" w:rsidRPr="001A1F03">
        <w:rPr>
          <w:b/>
          <w:sz w:val="24"/>
          <w:szCs w:val="24"/>
        </w:rPr>
        <w:tab/>
        <w:t xml:space="preserve">      </w:t>
      </w:r>
      <w:proofErr w:type="spellStart"/>
      <w:r w:rsidR="00AF1740" w:rsidRPr="001A1F03">
        <w:rPr>
          <w:b/>
          <w:sz w:val="24"/>
          <w:szCs w:val="24"/>
        </w:rPr>
        <w:t>Bakosiné</w:t>
      </w:r>
      <w:proofErr w:type="spellEnd"/>
      <w:proofErr w:type="gramEnd"/>
      <w:r w:rsidR="00AF1740" w:rsidRPr="001A1F03">
        <w:rPr>
          <w:b/>
          <w:sz w:val="24"/>
          <w:szCs w:val="24"/>
        </w:rPr>
        <w:t xml:space="preserve"> Márton Mária</w:t>
      </w:r>
    </w:p>
    <w:p w:rsidR="00AF1740" w:rsidRDefault="00AF1740" w:rsidP="00986B24">
      <w:pPr>
        <w:pStyle w:val="Szvegtrzsbehzssal"/>
        <w:ind w:left="1416"/>
        <w:rPr>
          <w:b/>
          <w:sz w:val="24"/>
          <w:szCs w:val="24"/>
        </w:rPr>
      </w:pPr>
      <w:r w:rsidRPr="001A1F03">
        <w:rPr>
          <w:b/>
          <w:sz w:val="24"/>
          <w:szCs w:val="24"/>
        </w:rPr>
        <w:t xml:space="preserve"> </w:t>
      </w:r>
      <w:r w:rsidR="00275F25" w:rsidRPr="001A1F03">
        <w:rPr>
          <w:b/>
          <w:sz w:val="24"/>
          <w:szCs w:val="24"/>
        </w:rPr>
        <w:t xml:space="preserve"> </w:t>
      </w:r>
      <w:r w:rsidR="00923D1E" w:rsidRPr="001A1F03">
        <w:rPr>
          <w:b/>
          <w:sz w:val="24"/>
          <w:szCs w:val="24"/>
        </w:rPr>
        <w:t xml:space="preserve">  </w:t>
      </w:r>
      <w:proofErr w:type="gramStart"/>
      <w:r w:rsidRPr="001A1F03">
        <w:rPr>
          <w:b/>
          <w:sz w:val="24"/>
          <w:szCs w:val="24"/>
        </w:rPr>
        <w:t>polgármester</w:t>
      </w:r>
      <w:proofErr w:type="gramEnd"/>
      <w:r w:rsidRPr="001A1F03">
        <w:rPr>
          <w:b/>
          <w:sz w:val="24"/>
          <w:szCs w:val="24"/>
        </w:rPr>
        <w:tab/>
      </w:r>
      <w:r w:rsidRPr="001A1F03">
        <w:rPr>
          <w:b/>
          <w:sz w:val="24"/>
          <w:szCs w:val="24"/>
        </w:rPr>
        <w:tab/>
      </w:r>
      <w:r w:rsidRPr="001A1F03">
        <w:rPr>
          <w:b/>
          <w:sz w:val="24"/>
          <w:szCs w:val="24"/>
        </w:rPr>
        <w:tab/>
      </w:r>
      <w:r w:rsidRPr="001A1F03">
        <w:rPr>
          <w:b/>
          <w:sz w:val="24"/>
          <w:szCs w:val="24"/>
        </w:rPr>
        <w:tab/>
      </w:r>
      <w:r w:rsidRPr="001A1F03">
        <w:rPr>
          <w:b/>
          <w:sz w:val="24"/>
          <w:szCs w:val="24"/>
        </w:rPr>
        <w:tab/>
        <w:t xml:space="preserve">    jegyző</w:t>
      </w: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</w:p>
    <w:p w:rsidR="001A1F03" w:rsidRDefault="001A1F03" w:rsidP="00986B24">
      <w:pPr>
        <w:pStyle w:val="Szvegtrzsbehzssal"/>
        <w:ind w:left="1416"/>
        <w:rPr>
          <w:b/>
          <w:sz w:val="24"/>
          <w:szCs w:val="24"/>
        </w:rPr>
      </w:pPr>
      <w:bookmarkStart w:id="0" w:name="_GoBack"/>
      <w:bookmarkEnd w:id="0"/>
    </w:p>
    <w:sectPr w:rsidR="001A1F03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245638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A1F03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563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214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23D1E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2F91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3</cp:revision>
  <cp:lastPrinted>2015-07-02T08:37:00Z</cp:lastPrinted>
  <dcterms:created xsi:type="dcterms:W3CDTF">2019-06-21T09:53:00Z</dcterms:created>
  <dcterms:modified xsi:type="dcterms:W3CDTF">2019-07-09T11:31:00Z</dcterms:modified>
</cp:coreProperties>
</file>