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194" w:rsidRPr="00CB4722" w:rsidRDefault="00F03194" w:rsidP="00F03194">
      <w:pPr>
        <w:jc w:val="center"/>
        <w:rPr>
          <w:b/>
          <w:szCs w:val="24"/>
        </w:rPr>
      </w:pPr>
      <w:r w:rsidRPr="00CB4722">
        <w:rPr>
          <w:b/>
          <w:szCs w:val="24"/>
        </w:rPr>
        <w:t>B1</w:t>
      </w:r>
    </w:p>
    <w:p w:rsidR="00F03194" w:rsidRPr="00CB4722" w:rsidRDefault="00F03194" w:rsidP="00F03194">
      <w:pPr>
        <w:tabs>
          <w:tab w:val="left" w:pos="2410"/>
          <w:tab w:val="left" w:pos="3119"/>
        </w:tabs>
        <w:jc w:val="center"/>
        <w:rPr>
          <w:b/>
          <w:szCs w:val="24"/>
        </w:rPr>
      </w:pPr>
      <w:r w:rsidRPr="00CB4722">
        <w:rPr>
          <w:b/>
          <w:szCs w:val="24"/>
        </w:rPr>
        <w:t>IBRÁNY VÁROS KÉPVISELŐ- TESTÜLETÉNEK</w:t>
      </w:r>
    </w:p>
    <w:p w:rsidR="00F03194" w:rsidRPr="00CB4722" w:rsidRDefault="00F03194" w:rsidP="00F03194">
      <w:pPr>
        <w:jc w:val="center"/>
        <w:rPr>
          <w:b/>
          <w:szCs w:val="24"/>
        </w:rPr>
      </w:pPr>
      <w:r w:rsidRPr="00CB4722">
        <w:rPr>
          <w:b/>
          <w:szCs w:val="24"/>
        </w:rPr>
        <w:t>7/2016. (III.01.) számú rendelete</w:t>
      </w:r>
    </w:p>
    <w:p w:rsidR="00F03194" w:rsidRPr="00CB4722" w:rsidRDefault="00F03194" w:rsidP="00F03194">
      <w:pPr>
        <w:jc w:val="center"/>
        <w:rPr>
          <w:b/>
          <w:szCs w:val="24"/>
        </w:rPr>
      </w:pPr>
      <w:r w:rsidRPr="00CB4722">
        <w:rPr>
          <w:b/>
          <w:szCs w:val="24"/>
        </w:rPr>
        <w:t xml:space="preserve">Ibrány Város Önkormányzata 2016. évi költségvetéséről ás a költségvetés vitelének szabályairól </w:t>
      </w:r>
    </w:p>
    <w:p w:rsidR="00F03194" w:rsidRPr="00CB4722" w:rsidRDefault="00F03194" w:rsidP="00F03194">
      <w:pPr>
        <w:rPr>
          <w:b/>
          <w:szCs w:val="24"/>
        </w:rPr>
      </w:pPr>
    </w:p>
    <w:p w:rsidR="00F03194" w:rsidRPr="00CB4722" w:rsidRDefault="00F03194" w:rsidP="00F03194">
      <w:pPr>
        <w:pStyle w:val="Szvegtrzs2"/>
        <w:spacing w:line="240" w:lineRule="auto"/>
        <w:rPr>
          <w:bCs/>
          <w:szCs w:val="24"/>
        </w:rPr>
      </w:pPr>
      <w:r w:rsidRPr="00CB4722">
        <w:rPr>
          <w:bCs/>
          <w:szCs w:val="24"/>
        </w:rPr>
        <w:t>Ibrány Város Önkormányzatának Képviselő-testülete az Ala</w:t>
      </w:r>
      <w:r w:rsidRPr="00CB4722">
        <w:rPr>
          <w:bCs/>
          <w:szCs w:val="24"/>
        </w:rPr>
        <w:t>p</w:t>
      </w:r>
      <w:r w:rsidRPr="00CB4722">
        <w:rPr>
          <w:bCs/>
          <w:szCs w:val="24"/>
        </w:rPr>
        <w:t>törvény 32. cikk (2) bekezdésében meghatározott eredeti jogalkotói hatáskörében, az Ala</w:t>
      </w:r>
      <w:r w:rsidRPr="00CB4722">
        <w:rPr>
          <w:bCs/>
          <w:szCs w:val="24"/>
        </w:rPr>
        <w:t>p</w:t>
      </w:r>
      <w:r w:rsidRPr="00CB4722">
        <w:rPr>
          <w:bCs/>
          <w:szCs w:val="24"/>
        </w:rPr>
        <w:t xml:space="preserve">törvény 32. cikk (1) bekezdés f) pontjában meghatározott feladatkörében eljárva </w:t>
      </w:r>
      <w:r>
        <w:rPr>
          <w:bCs/>
          <w:szCs w:val="24"/>
          <w:lang w:val="hu-HU"/>
        </w:rPr>
        <w:t xml:space="preserve">a Magyarország helyi önkormányzatairól szóló 2011. </w:t>
      </w:r>
      <w:proofErr w:type="gramStart"/>
      <w:r>
        <w:rPr>
          <w:bCs/>
          <w:szCs w:val="24"/>
          <w:lang w:val="hu-HU"/>
        </w:rPr>
        <w:t>évi</w:t>
      </w:r>
      <w:proofErr w:type="gramEnd"/>
      <w:r>
        <w:rPr>
          <w:bCs/>
          <w:szCs w:val="24"/>
          <w:lang w:val="hu-HU"/>
        </w:rPr>
        <w:t xml:space="preserve"> CLXXXIX tv. 120 § (1) bekezdésének a) pontjában meghatározott Pénzügyi Bizottság véleményének kikérésével </w:t>
      </w:r>
      <w:r w:rsidRPr="00CB4722">
        <w:rPr>
          <w:bCs/>
          <w:szCs w:val="24"/>
        </w:rPr>
        <w:t>a köve</w:t>
      </w:r>
      <w:r w:rsidRPr="00CB4722">
        <w:rPr>
          <w:bCs/>
          <w:szCs w:val="24"/>
        </w:rPr>
        <w:t>t</w:t>
      </w:r>
      <w:r w:rsidRPr="00CB4722">
        <w:rPr>
          <w:bCs/>
          <w:szCs w:val="24"/>
        </w:rPr>
        <w:t>kezőket rendeli el:</w:t>
      </w:r>
    </w:p>
    <w:p w:rsidR="00F03194" w:rsidRPr="00CB4722" w:rsidRDefault="00F03194" w:rsidP="00F03194">
      <w:pPr>
        <w:spacing w:before="240" w:after="240"/>
        <w:jc w:val="center"/>
        <w:rPr>
          <w:b/>
          <w:szCs w:val="24"/>
        </w:rPr>
      </w:pPr>
      <w:r w:rsidRPr="00CB4722">
        <w:rPr>
          <w:b/>
          <w:szCs w:val="24"/>
        </w:rPr>
        <w:t>1. § A rendelet hatálya</w:t>
      </w:r>
    </w:p>
    <w:p w:rsidR="00F03194" w:rsidRPr="00CB4722" w:rsidRDefault="00F03194" w:rsidP="00F03194">
      <w:pPr>
        <w:spacing w:before="120"/>
        <w:ind w:left="426" w:hanging="426"/>
        <w:jc w:val="both"/>
        <w:rPr>
          <w:szCs w:val="24"/>
        </w:rPr>
      </w:pPr>
      <w:r w:rsidRPr="00CB4722">
        <w:rPr>
          <w:szCs w:val="24"/>
        </w:rPr>
        <w:t>(1)</w:t>
      </w:r>
      <w:r w:rsidRPr="00CB4722">
        <w:rPr>
          <w:szCs w:val="24"/>
        </w:rPr>
        <w:tab/>
        <w:t>A rendelet hatálya a képviselő-testületre, annak bizottságaira, a polgármesteri hivatalra és az önkormányzat irányítása alá tartozó költségvetési szervekre (intézményekre) terjed ki.</w:t>
      </w:r>
    </w:p>
    <w:p w:rsidR="00F03194" w:rsidRPr="00CB4722" w:rsidRDefault="00F03194" w:rsidP="00F03194">
      <w:pPr>
        <w:spacing w:before="240" w:after="240"/>
        <w:jc w:val="center"/>
        <w:rPr>
          <w:b/>
          <w:szCs w:val="24"/>
        </w:rPr>
      </w:pPr>
      <w:r w:rsidRPr="00CB4722">
        <w:rPr>
          <w:b/>
          <w:szCs w:val="24"/>
        </w:rPr>
        <w:t>2. § A költségvetés bevételei és kiadásai</w:t>
      </w:r>
    </w:p>
    <w:p w:rsidR="00F03194" w:rsidRPr="00CB4722" w:rsidRDefault="00F03194" w:rsidP="00F03194">
      <w:pPr>
        <w:tabs>
          <w:tab w:val="left" w:pos="399"/>
        </w:tabs>
        <w:spacing w:before="120" w:after="240"/>
        <w:ind w:left="399" w:hanging="399"/>
        <w:jc w:val="both"/>
        <w:rPr>
          <w:szCs w:val="24"/>
        </w:rPr>
      </w:pPr>
      <w:r w:rsidRPr="00CB4722">
        <w:rPr>
          <w:szCs w:val="24"/>
        </w:rPr>
        <w:t>(1)</w:t>
      </w:r>
      <w:r w:rsidRPr="00CB4722">
        <w:rPr>
          <w:szCs w:val="24"/>
        </w:rPr>
        <w:tab/>
        <w:t>A képviselő-testület az önkormányzat 2016. évi költségvetését:</w:t>
      </w:r>
    </w:p>
    <w:tbl>
      <w:tblPr>
        <w:tblW w:w="0" w:type="auto"/>
        <w:tblInd w:w="1440" w:type="dxa"/>
        <w:tblLayout w:type="fixed"/>
        <w:tblCellMar>
          <w:left w:w="70" w:type="dxa"/>
          <w:right w:w="70" w:type="dxa"/>
        </w:tblCellMar>
        <w:tblLook w:val="0000"/>
      </w:tblPr>
      <w:tblGrid>
        <w:gridCol w:w="2624"/>
        <w:gridCol w:w="4086"/>
      </w:tblGrid>
      <w:tr w:rsidR="00F03194" w:rsidRPr="00CB4722" w:rsidTr="006F19A7">
        <w:tblPrEx>
          <w:tblCellMar>
            <w:top w:w="0" w:type="dxa"/>
            <w:bottom w:w="0" w:type="dxa"/>
          </w:tblCellMar>
        </w:tblPrEx>
        <w:tc>
          <w:tcPr>
            <w:tcW w:w="2624" w:type="dxa"/>
          </w:tcPr>
          <w:p w:rsidR="00F03194" w:rsidRPr="00CB4722" w:rsidRDefault="00F03194" w:rsidP="006F19A7">
            <w:pPr>
              <w:spacing w:before="120"/>
              <w:jc w:val="right"/>
              <w:rPr>
                <w:b/>
                <w:szCs w:val="24"/>
              </w:rPr>
            </w:pPr>
            <w:r w:rsidRPr="00CB4722">
              <w:rPr>
                <w:b/>
                <w:szCs w:val="24"/>
              </w:rPr>
              <w:t>1.077.170 E Ft</w:t>
            </w:r>
          </w:p>
        </w:tc>
        <w:tc>
          <w:tcPr>
            <w:tcW w:w="4086" w:type="dxa"/>
          </w:tcPr>
          <w:p w:rsidR="00F03194" w:rsidRPr="00CB4722" w:rsidRDefault="00F03194" w:rsidP="006F19A7">
            <w:pPr>
              <w:spacing w:before="120"/>
              <w:jc w:val="both"/>
              <w:rPr>
                <w:b/>
                <w:szCs w:val="24"/>
              </w:rPr>
            </w:pPr>
            <w:r w:rsidRPr="00CB4722">
              <w:rPr>
                <w:b/>
                <w:szCs w:val="24"/>
              </w:rPr>
              <w:t>Költségvetési bevétellel</w:t>
            </w:r>
          </w:p>
        </w:tc>
      </w:tr>
      <w:tr w:rsidR="00F03194" w:rsidRPr="00CB4722" w:rsidTr="006F19A7">
        <w:tblPrEx>
          <w:tblCellMar>
            <w:top w:w="0" w:type="dxa"/>
            <w:bottom w:w="0" w:type="dxa"/>
          </w:tblCellMar>
        </w:tblPrEx>
        <w:tc>
          <w:tcPr>
            <w:tcW w:w="2624" w:type="dxa"/>
            <w:tcBorders>
              <w:bottom w:val="single" w:sz="12" w:space="0" w:color="auto"/>
            </w:tcBorders>
          </w:tcPr>
          <w:p w:rsidR="00F03194" w:rsidRPr="00CB4722" w:rsidRDefault="00F03194" w:rsidP="006F19A7">
            <w:pPr>
              <w:jc w:val="right"/>
              <w:rPr>
                <w:b/>
                <w:szCs w:val="24"/>
              </w:rPr>
            </w:pPr>
            <w:r w:rsidRPr="00CB4722">
              <w:rPr>
                <w:b/>
                <w:szCs w:val="24"/>
              </w:rPr>
              <w:t>1.159.996 E Ft</w:t>
            </w:r>
          </w:p>
        </w:tc>
        <w:tc>
          <w:tcPr>
            <w:tcW w:w="4086" w:type="dxa"/>
            <w:tcBorders>
              <w:bottom w:val="single" w:sz="12" w:space="0" w:color="auto"/>
            </w:tcBorders>
          </w:tcPr>
          <w:p w:rsidR="00F03194" w:rsidRPr="00CB4722" w:rsidRDefault="00F03194" w:rsidP="006F19A7">
            <w:pPr>
              <w:jc w:val="both"/>
              <w:rPr>
                <w:b/>
                <w:szCs w:val="24"/>
              </w:rPr>
            </w:pPr>
            <w:r w:rsidRPr="00CB4722">
              <w:rPr>
                <w:b/>
                <w:szCs w:val="24"/>
              </w:rPr>
              <w:t>Költségvetési kiadással</w:t>
            </w:r>
          </w:p>
        </w:tc>
      </w:tr>
      <w:tr w:rsidR="00F03194" w:rsidRPr="00CB4722" w:rsidTr="006F19A7">
        <w:tblPrEx>
          <w:tblCellMar>
            <w:top w:w="0" w:type="dxa"/>
            <w:bottom w:w="0" w:type="dxa"/>
          </w:tblCellMar>
        </w:tblPrEx>
        <w:tc>
          <w:tcPr>
            <w:tcW w:w="2624" w:type="dxa"/>
          </w:tcPr>
          <w:p w:rsidR="00F03194" w:rsidRPr="00CB4722" w:rsidRDefault="00F03194" w:rsidP="006F19A7">
            <w:pPr>
              <w:jc w:val="right"/>
              <w:rPr>
                <w:b/>
                <w:szCs w:val="24"/>
              </w:rPr>
            </w:pPr>
            <w:r w:rsidRPr="00CB4722">
              <w:rPr>
                <w:b/>
                <w:szCs w:val="24"/>
              </w:rPr>
              <w:t>85.359 E Ft</w:t>
            </w:r>
          </w:p>
          <w:p w:rsidR="00F03194" w:rsidRPr="00CB4722" w:rsidRDefault="00F03194" w:rsidP="006F19A7">
            <w:pPr>
              <w:jc w:val="right"/>
              <w:rPr>
                <w:b/>
                <w:szCs w:val="24"/>
              </w:rPr>
            </w:pPr>
            <w:r w:rsidRPr="00CB4722">
              <w:rPr>
                <w:b/>
                <w:szCs w:val="24"/>
              </w:rPr>
              <w:t>40.000 E Ft</w:t>
            </w:r>
          </w:p>
          <w:p w:rsidR="00F03194" w:rsidRPr="00CB4722" w:rsidRDefault="00F03194" w:rsidP="006F19A7">
            <w:pPr>
              <w:jc w:val="right"/>
              <w:rPr>
                <w:b/>
                <w:szCs w:val="24"/>
              </w:rPr>
            </w:pPr>
            <w:r w:rsidRPr="00CB4722">
              <w:rPr>
                <w:b/>
                <w:szCs w:val="24"/>
              </w:rPr>
              <w:t>45.359 E Ft</w:t>
            </w:r>
          </w:p>
        </w:tc>
        <w:tc>
          <w:tcPr>
            <w:tcW w:w="4086" w:type="dxa"/>
          </w:tcPr>
          <w:p w:rsidR="00F03194" w:rsidRPr="00CB4722" w:rsidRDefault="00F03194" w:rsidP="006F19A7">
            <w:pPr>
              <w:jc w:val="both"/>
              <w:rPr>
                <w:b/>
                <w:szCs w:val="24"/>
              </w:rPr>
            </w:pPr>
            <w:r w:rsidRPr="00CB4722">
              <w:rPr>
                <w:b/>
                <w:szCs w:val="24"/>
              </w:rPr>
              <w:t>Költségvetési egyenleggel</w:t>
            </w:r>
          </w:p>
          <w:p w:rsidR="00F03194" w:rsidRPr="00CB4722" w:rsidRDefault="00F03194" w:rsidP="006F19A7">
            <w:pPr>
              <w:jc w:val="both"/>
              <w:rPr>
                <w:b/>
                <w:szCs w:val="24"/>
              </w:rPr>
            </w:pPr>
            <w:r w:rsidRPr="00CB4722">
              <w:rPr>
                <w:b/>
                <w:szCs w:val="24"/>
              </w:rPr>
              <w:t xml:space="preserve">- </w:t>
            </w:r>
            <w:proofErr w:type="gramStart"/>
            <w:r w:rsidRPr="00CB4722">
              <w:rPr>
                <w:b/>
                <w:szCs w:val="24"/>
              </w:rPr>
              <w:t>ebből  működési</w:t>
            </w:r>
            <w:proofErr w:type="gramEnd"/>
            <w:r w:rsidRPr="00CB4722">
              <w:rPr>
                <w:b/>
                <w:szCs w:val="24"/>
              </w:rPr>
              <w:t xml:space="preserve"> </w:t>
            </w:r>
            <w:r w:rsidRPr="00CB4722">
              <w:rPr>
                <w:szCs w:val="24"/>
              </w:rPr>
              <w:t>hiány</w:t>
            </w:r>
          </w:p>
          <w:p w:rsidR="00F03194" w:rsidRPr="00CB4722" w:rsidRDefault="00F03194" w:rsidP="006F19A7">
            <w:pPr>
              <w:jc w:val="both"/>
              <w:rPr>
                <w:b/>
                <w:szCs w:val="24"/>
              </w:rPr>
            </w:pPr>
            <w:r w:rsidRPr="00CB4722">
              <w:rPr>
                <w:b/>
                <w:szCs w:val="24"/>
              </w:rPr>
              <w:t xml:space="preserve">             felhalmozási </w:t>
            </w:r>
            <w:r w:rsidRPr="00CB4722">
              <w:rPr>
                <w:szCs w:val="24"/>
              </w:rPr>
              <w:t>hiány</w:t>
            </w:r>
          </w:p>
        </w:tc>
      </w:tr>
    </w:tbl>
    <w:p w:rsidR="00F03194" w:rsidRPr="00CB4722" w:rsidRDefault="00F03194" w:rsidP="00F03194">
      <w:pPr>
        <w:ind w:left="456"/>
        <w:jc w:val="both"/>
        <w:rPr>
          <w:szCs w:val="24"/>
        </w:rPr>
      </w:pPr>
      <w:proofErr w:type="gramStart"/>
      <w:r w:rsidRPr="00CB4722">
        <w:rPr>
          <w:szCs w:val="24"/>
        </w:rPr>
        <w:t>állapítja</w:t>
      </w:r>
      <w:proofErr w:type="gramEnd"/>
      <w:r w:rsidRPr="00CB4722">
        <w:rPr>
          <w:szCs w:val="24"/>
        </w:rPr>
        <w:t xml:space="preserve"> meg.</w:t>
      </w:r>
    </w:p>
    <w:p w:rsidR="00F03194" w:rsidRPr="00CB4722" w:rsidRDefault="00F03194" w:rsidP="00F03194">
      <w:pPr>
        <w:ind w:left="456"/>
        <w:jc w:val="both"/>
        <w:rPr>
          <w:szCs w:val="24"/>
        </w:rPr>
      </w:pPr>
    </w:p>
    <w:p w:rsidR="00F03194" w:rsidRPr="00CB4722" w:rsidRDefault="00F03194" w:rsidP="00F03194">
      <w:pPr>
        <w:spacing w:before="120"/>
        <w:ind w:left="426" w:hanging="426"/>
        <w:jc w:val="both"/>
        <w:rPr>
          <w:szCs w:val="24"/>
        </w:rPr>
      </w:pPr>
      <w:r w:rsidRPr="00CB4722">
        <w:rPr>
          <w:szCs w:val="24"/>
        </w:rPr>
        <w:t>(2)</w:t>
      </w:r>
      <w:r w:rsidRPr="00CB4722">
        <w:rPr>
          <w:szCs w:val="24"/>
        </w:rPr>
        <w:tab/>
        <w:t>Az (1) bekezdésben megállapított költségvetési bevételek forrásonkénti, a költségvetési kiadások jogcímenkénti megoszlását önkormányzati szinten, továbbá a finanszírozási bevételeket és kiadásokat a rendelet 1.1. melléklete alapján határozza meg a képviselő-testület.</w:t>
      </w:r>
    </w:p>
    <w:p w:rsidR="00F03194" w:rsidRPr="00CB4722" w:rsidRDefault="00F03194" w:rsidP="00F03194">
      <w:pPr>
        <w:spacing w:before="120"/>
        <w:ind w:left="426" w:hanging="426"/>
        <w:jc w:val="both"/>
        <w:rPr>
          <w:szCs w:val="24"/>
        </w:rPr>
      </w:pPr>
      <w:r w:rsidRPr="00CB4722">
        <w:rPr>
          <w:szCs w:val="24"/>
        </w:rPr>
        <w:t>(3) A bevételek és kiadások előirányzat-csoportok, kiemelt előirányzatok és azon belül kötelező feladatok, önként vállalt feladatok, államigazgatási feladatok szerinti bontásban az 1.2</w:t>
      </w:r>
      <w:proofErr w:type="gramStart"/>
      <w:r w:rsidRPr="00CB4722">
        <w:rPr>
          <w:szCs w:val="24"/>
        </w:rPr>
        <w:t>.,</w:t>
      </w:r>
      <w:proofErr w:type="gramEnd"/>
      <w:r w:rsidRPr="00CB4722">
        <w:rPr>
          <w:szCs w:val="24"/>
        </w:rPr>
        <w:t xml:space="preserve"> 1.3., 1.4. mellékletek szerint állapítja meg.</w:t>
      </w:r>
    </w:p>
    <w:p w:rsidR="00F03194" w:rsidRPr="00CB4722" w:rsidRDefault="00F03194" w:rsidP="00F03194">
      <w:pPr>
        <w:spacing w:before="120"/>
        <w:ind w:left="426" w:hanging="426"/>
        <w:jc w:val="both"/>
        <w:rPr>
          <w:szCs w:val="24"/>
        </w:rPr>
      </w:pPr>
      <w:r w:rsidRPr="00CB4722">
        <w:rPr>
          <w:szCs w:val="24"/>
        </w:rPr>
        <w:t>(4)</w:t>
      </w:r>
      <w:r w:rsidRPr="00CB4722">
        <w:rPr>
          <w:szCs w:val="24"/>
        </w:rPr>
        <w:tab/>
        <w:t>A működési és felhalmozási bevételek és kiadások előirányzatai mérlegszerű bemutatását önkormányzati szinten a 2.1. és a 2.2. melléklet részletezi.</w:t>
      </w:r>
    </w:p>
    <w:p w:rsidR="00F03194" w:rsidRPr="00CB4722" w:rsidRDefault="00F03194" w:rsidP="00F03194">
      <w:pPr>
        <w:spacing w:before="120"/>
        <w:ind w:left="456" w:hanging="456"/>
        <w:jc w:val="both"/>
        <w:rPr>
          <w:szCs w:val="24"/>
        </w:rPr>
      </w:pPr>
      <w:r w:rsidRPr="00CB4722">
        <w:rPr>
          <w:szCs w:val="24"/>
        </w:rPr>
        <w:t>(5)</w:t>
      </w:r>
      <w:r w:rsidRPr="00CB4722">
        <w:rPr>
          <w:szCs w:val="24"/>
        </w:rPr>
        <w:tab/>
        <w:t xml:space="preserve">A működési hiány belső finanszírozásának érdekében a képviselő-testület az előző </w:t>
      </w:r>
      <w:proofErr w:type="gramStart"/>
      <w:r w:rsidRPr="00CB4722">
        <w:rPr>
          <w:szCs w:val="24"/>
        </w:rPr>
        <w:t>év(</w:t>
      </w:r>
      <w:proofErr w:type="spellStart"/>
      <w:proofErr w:type="gramEnd"/>
      <w:r w:rsidRPr="00CB4722">
        <w:rPr>
          <w:szCs w:val="24"/>
        </w:rPr>
        <w:t>ek</w:t>
      </w:r>
      <w:proofErr w:type="spellEnd"/>
      <w:r w:rsidRPr="00CB4722">
        <w:rPr>
          <w:szCs w:val="24"/>
        </w:rPr>
        <w:t>) költségvetési maradványának felhasználását rendeli el 40.000.000 Ft összegben.</w:t>
      </w:r>
    </w:p>
    <w:p w:rsidR="00F03194" w:rsidRPr="00CB4722" w:rsidRDefault="00F03194" w:rsidP="00F03194">
      <w:pPr>
        <w:spacing w:before="120"/>
        <w:ind w:left="426" w:hanging="426"/>
        <w:jc w:val="both"/>
        <w:rPr>
          <w:szCs w:val="24"/>
        </w:rPr>
      </w:pPr>
      <w:r w:rsidRPr="00CB4722">
        <w:rPr>
          <w:szCs w:val="24"/>
        </w:rPr>
        <w:t>(6)</w:t>
      </w:r>
      <w:r w:rsidRPr="00CB4722">
        <w:rPr>
          <w:szCs w:val="24"/>
        </w:rPr>
        <w:tab/>
        <w:t>A felhalmozási hiány finanszírozása érdekében a 10 millió forintot meghaladó fejlesztési célú adósságot keletkeztető ügylet megkötésére a Kormány hozzájárulása szükséges. A 10 millió forintot meg nem haladó fejlesztési célú adósságot keletkeztető ügylet esetében a hiány külső finanszírozása fejlesztési hitelből történik.</w:t>
      </w:r>
    </w:p>
    <w:p w:rsidR="00F03194" w:rsidRPr="00CB4722" w:rsidRDefault="00F03194" w:rsidP="00F03194">
      <w:pPr>
        <w:spacing w:before="240" w:after="240"/>
        <w:jc w:val="center"/>
        <w:rPr>
          <w:b/>
          <w:szCs w:val="24"/>
        </w:rPr>
      </w:pPr>
      <w:r w:rsidRPr="00CB4722">
        <w:rPr>
          <w:b/>
          <w:szCs w:val="24"/>
        </w:rPr>
        <w:t>3. § A költségvetés részletezése</w:t>
      </w:r>
    </w:p>
    <w:p w:rsidR="00F03194" w:rsidRPr="00CB4722" w:rsidRDefault="00F03194" w:rsidP="00F03194">
      <w:pPr>
        <w:spacing w:before="120"/>
        <w:jc w:val="both"/>
        <w:rPr>
          <w:szCs w:val="24"/>
        </w:rPr>
      </w:pPr>
      <w:r w:rsidRPr="00CB4722">
        <w:rPr>
          <w:szCs w:val="24"/>
        </w:rPr>
        <w:t>A Képviselő-testület az önkormányzat 2016. évi költségvetését részletesen a következők szerint állapítja meg:</w:t>
      </w:r>
    </w:p>
    <w:p w:rsidR="00F03194" w:rsidRPr="00CB4722" w:rsidRDefault="00F03194" w:rsidP="00F03194">
      <w:pPr>
        <w:tabs>
          <w:tab w:val="left" w:pos="456"/>
        </w:tabs>
        <w:spacing w:before="120"/>
        <w:ind w:left="456" w:hanging="456"/>
        <w:jc w:val="both"/>
        <w:rPr>
          <w:szCs w:val="24"/>
        </w:rPr>
      </w:pPr>
      <w:r w:rsidRPr="00CB4722">
        <w:rPr>
          <w:szCs w:val="24"/>
        </w:rPr>
        <w:lastRenderedPageBreak/>
        <w:t>(1)</w:t>
      </w:r>
      <w:r w:rsidRPr="00CB4722">
        <w:rPr>
          <w:szCs w:val="24"/>
        </w:rPr>
        <w:tab/>
        <w:t>Az Önkormányzat adósságot keletkeztető ügyletekből és kezességvállalásokból fennálló kötelezettségeit a 3. melléklet részletezi.</w:t>
      </w:r>
    </w:p>
    <w:p w:rsidR="00F03194" w:rsidRPr="00CB4722" w:rsidRDefault="00F03194" w:rsidP="00F03194">
      <w:pPr>
        <w:tabs>
          <w:tab w:val="left" w:pos="456"/>
        </w:tabs>
        <w:spacing w:before="120"/>
        <w:ind w:left="456" w:hanging="456"/>
        <w:jc w:val="both"/>
        <w:rPr>
          <w:szCs w:val="24"/>
        </w:rPr>
      </w:pPr>
      <w:r w:rsidRPr="00CB4722">
        <w:rPr>
          <w:szCs w:val="24"/>
        </w:rPr>
        <w:t>(2)</w:t>
      </w:r>
      <w:r w:rsidRPr="00CB4722">
        <w:rPr>
          <w:szCs w:val="24"/>
        </w:rPr>
        <w:tab/>
        <w:t xml:space="preserve">Az Önkormányzat saját bevételeinek részletezését az adósságot keletkeztető ügyletből származó tárgyévi fizetési kötelezettség megállapításához a 4. melléklet tartalmazza.     </w:t>
      </w:r>
    </w:p>
    <w:p w:rsidR="00F03194" w:rsidRPr="00CB4722" w:rsidRDefault="00F03194" w:rsidP="00F03194">
      <w:pPr>
        <w:tabs>
          <w:tab w:val="left" w:pos="456"/>
        </w:tabs>
        <w:spacing w:before="120"/>
        <w:ind w:left="456" w:hanging="456"/>
        <w:jc w:val="both"/>
        <w:rPr>
          <w:szCs w:val="24"/>
        </w:rPr>
      </w:pPr>
      <w:r w:rsidRPr="00CB4722">
        <w:rPr>
          <w:szCs w:val="24"/>
        </w:rPr>
        <w:t>(3)</w:t>
      </w:r>
      <w:r w:rsidRPr="00CB4722">
        <w:rPr>
          <w:szCs w:val="24"/>
        </w:rPr>
        <w:tab/>
        <w:t xml:space="preserve">Az Önkormányzat 2016. évi adósságot keletkeztető fejlesztési céljait az 5. melléklet részletezi.      </w:t>
      </w:r>
    </w:p>
    <w:p w:rsidR="00F03194" w:rsidRPr="00CB4722" w:rsidRDefault="00F03194" w:rsidP="00F03194">
      <w:pPr>
        <w:tabs>
          <w:tab w:val="left" w:pos="456"/>
        </w:tabs>
        <w:spacing w:before="120"/>
        <w:ind w:left="456" w:hanging="456"/>
        <w:jc w:val="both"/>
        <w:rPr>
          <w:szCs w:val="24"/>
        </w:rPr>
      </w:pPr>
      <w:r w:rsidRPr="00CB4722">
        <w:rPr>
          <w:szCs w:val="24"/>
        </w:rPr>
        <w:t>(4)</w:t>
      </w:r>
      <w:r w:rsidRPr="00CB4722">
        <w:rPr>
          <w:szCs w:val="24"/>
        </w:rPr>
        <w:tab/>
        <w:t>Az Önkormányzat költségvetésében szereplő beruházások kiadásainak beruházásonkénti részletezését a 6. melléklet szerint határozza meg.</w:t>
      </w:r>
    </w:p>
    <w:p w:rsidR="00F03194" w:rsidRPr="00CB4722" w:rsidRDefault="00F03194" w:rsidP="00F03194">
      <w:pPr>
        <w:tabs>
          <w:tab w:val="left" w:pos="456"/>
        </w:tabs>
        <w:spacing w:before="120"/>
        <w:ind w:left="456" w:hanging="456"/>
        <w:jc w:val="both"/>
        <w:rPr>
          <w:szCs w:val="24"/>
        </w:rPr>
      </w:pPr>
      <w:r w:rsidRPr="00CB4722">
        <w:rPr>
          <w:szCs w:val="24"/>
        </w:rPr>
        <w:t>(5)</w:t>
      </w:r>
      <w:r w:rsidRPr="00CB4722">
        <w:rPr>
          <w:szCs w:val="24"/>
        </w:rPr>
        <w:tab/>
        <w:t>Az önkormányzat költségvetésében szereplő felújítások kiadásait felújításonként a 7. melléklet szerint részletezi.</w:t>
      </w:r>
    </w:p>
    <w:p w:rsidR="00F03194" w:rsidRDefault="00F03194" w:rsidP="00F03194">
      <w:pPr>
        <w:tabs>
          <w:tab w:val="left" w:pos="456"/>
        </w:tabs>
        <w:spacing w:before="120"/>
        <w:ind w:left="456" w:hanging="456"/>
        <w:jc w:val="both"/>
        <w:rPr>
          <w:szCs w:val="24"/>
        </w:rPr>
      </w:pPr>
      <w:r w:rsidRPr="00CB4722">
        <w:rPr>
          <w:szCs w:val="24"/>
        </w:rPr>
        <w:t>(6)</w:t>
      </w:r>
      <w:r w:rsidRPr="00CB4722">
        <w:rPr>
          <w:szCs w:val="24"/>
        </w:rPr>
        <w:tab/>
        <w:t>Az EU-s támogatással megvalósuló programokat és projekteket, valamint az önkormányzaton kívül megvalósuló projektekhez való hozzájárulást a 8. melléklet szerint hagyja jóvá.</w:t>
      </w:r>
    </w:p>
    <w:p w:rsidR="00F03194" w:rsidRPr="00CB4722" w:rsidRDefault="00F03194" w:rsidP="00F03194">
      <w:pPr>
        <w:tabs>
          <w:tab w:val="left" w:pos="456"/>
        </w:tabs>
        <w:spacing w:before="120"/>
        <w:ind w:left="456" w:hanging="456"/>
        <w:jc w:val="both"/>
        <w:rPr>
          <w:szCs w:val="24"/>
        </w:rPr>
      </w:pPr>
    </w:p>
    <w:p w:rsidR="00F03194" w:rsidRPr="00CB4722" w:rsidRDefault="00F03194" w:rsidP="00F03194">
      <w:pPr>
        <w:tabs>
          <w:tab w:val="left" w:pos="456"/>
        </w:tabs>
        <w:spacing w:before="120"/>
        <w:ind w:left="456" w:hanging="456"/>
        <w:jc w:val="both"/>
        <w:rPr>
          <w:szCs w:val="24"/>
        </w:rPr>
      </w:pPr>
      <w:r w:rsidRPr="00CB4722">
        <w:rPr>
          <w:szCs w:val="24"/>
        </w:rPr>
        <w:t>(7)</w:t>
      </w:r>
      <w:r w:rsidRPr="00CB4722">
        <w:rPr>
          <w:szCs w:val="24"/>
        </w:rPr>
        <w:tab/>
        <w:t>A 2. § (1) bekezdésében megállapított bevételek és kiadások önkormányzati, polgármesteri hivatali, továbbá költségvetési szervenkénti megoszlását, és az éves (tervezett) létszám előirányzatot és a közfoglalkoztatottak létszámát költségvetési szervenként, feladatonként és azon belül kötelező feladatok, önként vállalt feladatok, államigazgatási feladatok szerinti bontásban a 9.1.-9.5.3. mellékletek szerint határozza meg.</w:t>
      </w:r>
    </w:p>
    <w:p w:rsidR="00F03194" w:rsidRPr="00CB4722" w:rsidRDefault="00F03194" w:rsidP="00F03194">
      <w:pPr>
        <w:spacing w:before="240" w:after="240"/>
        <w:jc w:val="center"/>
        <w:rPr>
          <w:b/>
          <w:szCs w:val="24"/>
        </w:rPr>
      </w:pPr>
      <w:r w:rsidRPr="00CB4722">
        <w:rPr>
          <w:b/>
          <w:szCs w:val="24"/>
        </w:rPr>
        <w:t>4. § A költségvetés végrehajtásának szabályai</w:t>
      </w:r>
    </w:p>
    <w:p w:rsidR="00F03194" w:rsidRPr="00CB4722" w:rsidRDefault="00F03194" w:rsidP="00F03194">
      <w:pPr>
        <w:tabs>
          <w:tab w:val="left" w:pos="456"/>
        </w:tabs>
        <w:spacing w:before="120"/>
        <w:ind w:left="456" w:hanging="456"/>
        <w:jc w:val="both"/>
        <w:rPr>
          <w:szCs w:val="24"/>
        </w:rPr>
      </w:pPr>
      <w:r w:rsidRPr="00CB4722">
        <w:rPr>
          <w:szCs w:val="24"/>
        </w:rPr>
        <w:t>(1)</w:t>
      </w:r>
      <w:r w:rsidRPr="00CB4722">
        <w:rPr>
          <w:szCs w:val="24"/>
        </w:rPr>
        <w:tab/>
        <w:t>Az önkormányzati szintű költségvetés végrehajtásáért a polgármester, a könyvvezetéssel kapcsolatos feladatok ellátásáért a jegyző a felelős.</w:t>
      </w:r>
    </w:p>
    <w:p w:rsidR="00F03194" w:rsidRPr="00CB4722" w:rsidRDefault="00F03194" w:rsidP="00F03194">
      <w:pPr>
        <w:tabs>
          <w:tab w:val="left" w:pos="426"/>
        </w:tabs>
        <w:spacing w:before="120"/>
        <w:ind w:left="426" w:hanging="426"/>
        <w:jc w:val="both"/>
        <w:rPr>
          <w:szCs w:val="24"/>
        </w:rPr>
      </w:pPr>
      <w:r w:rsidRPr="00CB4722">
        <w:rPr>
          <w:szCs w:val="24"/>
        </w:rPr>
        <w:t>(2)</w:t>
      </w:r>
      <w:r w:rsidRPr="00CB4722">
        <w:rPr>
          <w:szCs w:val="24"/>
        </w:rPr>
        <w:tab/>
        <w:t>Az Önkormányzat gazdálkodásának biztonságáért a képviselő-testület, a gazdálkodás szabál</w:t>
      </w:r>
      <w:r w:rsidRPr="00CB4722">
        <w:rPr>
          <w:szCs w:val="24"/>
        </w:rPr>
        <w:t>y</w:t>
      </w:r>
      <w:r w:rsidRPr="00CB4722">
        <w:rPr>
          <w:szCs w:val="24"/>
        </w:rPr>
        <w:t>szerűségéért a polgármester felelős.</w:t>
      </w:r>
    </w:p>
    <w:p w:rsidR="00F03194" w:rsidRPr="00CB4722" w:rsidRDefault="00F03194" w:rsidP="00F03194">
      <w:pPr>
        <w:spacing w:before="240"/>
        <w:ind w:left="456" w:hanging="456"/>
        <w:jc w:val="both"/>
        <w:rPr>
          <w:szCs w:val="24"/>
        </w:rPr>
      </w:pPr>
      <w:r w:rsidRPr="00CB4722">
        <w:rPr>
          <w:szCs w:val="24"/>
        </w:rPr>
        <w:t>(3)</w:t>
      </w:r>
      <w:r w:rsidRPr="00CB4722">
        <w:rPr>
          <w:szCs w:val="24"/>
        </w:rPr>
        <w:tab/>
        <w:t>Az Önkormányzat gazdálkodása a bevételi előirányzatok teljesítésének kötelezettségét és a kiadási előirányzatok felhasználásának jogosultságát foglalja magába. A bevételi előirányzat-módosítás nélkül is túlteljesíthető, a kiadási előirányzat nem jár felhasználási kötelezettséggel.</w:t>
      </w:r>
    </w:p>
    <w:p w:rsidR="00F03194" w:rsidRPr="00CB4722" w:rsidRDefault="00F03194" w:rsidP="00F03194">
      <w:pPr>
        <w:spacing w:before="240"/>
        <w:ind w:left="456" w:hanging="456"/>
        <w:jc w:val="both"/>
        <w:rPr>
          <w:szCs w:val="24"/>
        </w:rPr>
      </w:pPr>
      <w:r w:rsidRPr="00CB4722">
        <w:rPr>
          <w:szCs w:val="24"/>
        </w:rPr>
        <w:t>(4)</w:t>
      </w:r>
      <w:r w:rsidRPr="00CB4722">
        <w:rPr>
          <w:szCs w:val="24"/>
        </w:rPr>
        <w:tab/>
        <w:t xml:space="preserve">A költségvetési hiány csökkentése érdekében évközben folyamatosan figyelemmel kell kísérni a kiadások csökkentésének és a bevételek növelésének lehetőségeit. </w:t>
      </w:r>
    </w:p>
    <w:p w:rsidR="00F03194" w:rsidRPr="00CB4722" w:rsidRDefault="00F03194" w:rsidP="00F03194">
      <w:pPr>
        <w:spacing w:before="240"/>
        <w:ind w:left="456" w:hanging="456"/>
        <w:jc w:val="both"/>
        <w:rPr>
          <w:szCs w:val="24"/>
        </w:rPr>
      </w:pPr>
      <w:r w:rsidRPr="00CB4722">
        <w:rPr>
          <w:szCs w:val="24"/>
        </w:rPr>
        <w:t>(5)</w:t>
      </w:r>
      <w:r w:rsidRPr="00CB4722">
        <w:rPr>
          <w:szCs w:val="24"/>
        </w:rPr>
        <w:tab/>
        <w:t>Az önkormányzati feladatellátás minden területén érvényesíteni kell a szigorú, takarékos gazdálkodás követelményét. A költségvetési szervek vezetői kötelesek a takarékos, ésszerű gazdálkodás követelményeinek megfelelni és javaslataikkal, döntéseikkel segíteni a kiadások csökkentését.</w:t>
      </w:r>
    </w:p>
    <w:p w:rsidR="00F03194" w:rsidRPr="00CB4722" w:rsidRDefault="00F03194" w:rsidP="00F03194">
      <w:pPr>
        <w:spacing w:before="240"/>
        <w:ind w:left="456" w:hanging="456"/>
        <w:jc w:val="both"/>
        <w:rPr>
          <w:szCs w:val="24"/>
        </w:rPr>
      </w:pPr>
      <w:r w:rsidRPr="00CB4722">
        <w:rPr>
          <w:szCs w:val="24"/>
        </w:rPr>
        <w:t>(6)</w:t>
      </w:r>
      <w:r w:rsidRPr="00CB4722">
        <w:rPr>
          <w:szCs w:val="24"/>
        </w:rPr>
        <w:tab/>
        <w:t xml:space="preserve">A költségvetés végrehajtása során fizetési kötelezettség a jóváhagyott kiadási előirányzatok mértékéig vállalható és kifizetések is ezen összeghatárig rendelhetők el (utalványozhatók). </w:t>
      </w:r>
    </w:p>
    <w:p w:rsidR="00F03194" w:rsidRPr="00CB4722" w:rsidRDefault="00F03194" w:rsidP="00F03194">
      <w:pPr>
        <w:spacing w:before="240"/>
        <w:ind w:left="456" w:hanging="456"/>
        <w:jc w:val="both"/>
        <w:rPr>
          <w:szCs w:val="24"/>
        </w:rPr>
      </w:pPr>
      <w:r w:rsidRPr="00CB4722">
        <w:rPr>
          <w:szCs w:val="24"/>
        </w:rPr>
        <w:t>(7)</w:t>
      </w:r>
      <w:r w:rsidRPr="00CB4722">
        <w:rPr>
          <w:szCs w:val="24"/>
        </w:rPr>
        <w:tab/>
        <w:t xml:space="preserve">Amennyiben év közben a gazdálkodás feltételeiben olyan kedvezőtlen változások következnek be, amelyek a költségvetés végrehajtását alapvetően veszélyeztetik, a Polgármester – a Képviselő-testület utólagos jóváhagyása mellett – a teljes </w:t>
      </w:r>
      <w:r w:rsidRPr="00CB4722">
        <w:rPr>
          <w:szCs w:val="24"/>
        </w:rPr>
        <w:lastRenderedPageBreak/>
        <w:t xml:space="preserve">önkormányzati körben a kötelezettségvállalási (pénzfelhasználási) jogköröket felfüggesztheti vagy korlátozhatja, az elfogadott költségvetés keretein belül az esetlegesen szükséges átmeneti, pénzügyi folyamatokat szigorító intézkedéseket megteheti a város költségvetési gazdálkodásának stabilizálása, a likviditás megőrzése érdekében. </w:t>
      </w:r>
    </w:p>
    <w:p w:rsidR="00F03194" w:rsidRPr="00CB4722" w:rsidRDefault="00F03194" w:rsidP="00F03194">
      <w:pPr>
        <w:spacing w:before="240"/>
        <w:ind w:left="456" w:hanging="456"/>
        <w:jc w:val="both"/>
        <w:rPr>
          <w:szCs w:val="24"/>
        </w:rPr>
      </w:pPr>
      <w:r w:rsidRPr="00CB4722">
        <w:rPr>
          <w:szCs w:val="24"/>
        </w:rPr>
        <w:t xml:space="preserve">(8) </w:t>
      </w:r>
      <w:r w:rsidRPr="00CB4722">
        <w:rPr>
          <w:szCs w:val="24"/>
        </w:rPr>
        <w:tab/>
        <w:t xml:space="preserve">A helyi önkormányzat feladatai tekintetében a kötelezettségvállalás gyakorlása a gazdálkodási szabályzat rendelkezései szerint történik. </w:t>
      </w:r>
    </w:p>
    <w:p w:rsidR="00F03194" w:rsidRPr="00CB4722" w:rsidRDefault="00F03194" w:rsidP="00F03194">
      <w:pPr>
        <w:spacing w:before="240"/>
        <w:ind w:left="456" w:hanging="456"/>
        <w:jc w:val="both"/>
        <w:rPr>
          <w:szCs w:val="24"/>
        </w:rPr>
      </w:pPr>
      <w:r w:rsidRPr="00CB4722">
        <w:rPr>
          <w:szCs w:val="24"/>
        </w:rPr>
        <w:t xml:space="preserve">(9) </w:t>
      </w:r>
      <w:r w:rsidRPr="00CB4722">
        <w:rPr>
          <w:szCs w:val="24"/>
        </w:rPr>
        <w:tab/>
        <w:t>A Képviselő-testület felhatalmazza a Polgármestert, hogy – pályázat benyújtásáról, és saját forrás biztosításáról szóló külön képviselő-testületi döntés hiányában – az Önkormányzat által benyújtani kívánt támogatási igény (pályázat) esetében az Önkormányzat nevében előzetesen nyilatkozzon a saját forrás biztosításáról azzal, hogy soron következő képviselő-testületi ülésen tájékoztatja a testületet.</w:t>
      </w:r>
    </w:p>
    <w:p w:rsidR="00F03194" w:rsidRDefault="00F03194" w:rsidP="00F03194">
      <w:pPr>
        <w:spacing w:before="240"/>
        <w:ind w:left="454" w:hanging="454"/>
        <w:jc w:val="both"/>
        <w:rPr>
          <w:szCs w:val="24"/>
        </w:rPr>
      </w:pPr>
      <w:r w:rsidRPr="00CB4722">
        <w:rPr>
          <w:szCs w:val="24"/>
        </w:rPr>
        <w:t xml:space="preserve"> (10)</w:t>
      </w:r>
      <w:r w:rsidRPr="00CB4722">
        <w:rPr>
          <w:szCs w:val="24"/>
        </w:rPr>
        <w:tab/>
        <w:t xml:space="preserve">A költségvetési szerv vezetője e rendelet 10. mellékletében foglalt adatlapon köteles a tartozásállományról adatot szolgáltatni. </w:t>
      </w:r>
    </w:p>
    <w:p w:rsidR="00F03194" w:rsidRPr="00CB4722" w:rsidRDefault="00F03194" w:rsidP="00F03194">
      <w:pPr>
        <w:spacing w:before="240"/>
        <w:ind w:left="454" w:hanging="454"/>
        <w:jc w:val="both"/>
        <w:rPr>
          <w:szCs w:val="24"/>
        </w:rPr>
      </w:pPr>
      <w:r w:rsidRPr="00CB4722">
        <w:rPr>
          <w:szCs w:val="24"/>
        </w:rPr>
        <w:t>A költségvetési szerv az általa lejárt esedékességű elismert tartozásállomány tekintetében – nemleges adat esetén is – havonta a tárgyhó utolsó napján meglévő állapotnak megfelelően a tárgyhónapot követő hó 5-ig az önkormányzat jegyzője részére köteles adatszolgáltatást teljesíteni.</w:t>
      </w:r>
    </w:p>
    <w:p w:rsidR="00F03194" w:rsidRPr="00CB4722" w:rsidRDefault="00F03194" w:rsidP="00F03194">
      <w:pPr>
        <w:spacing w:before="240" w:after="120"/>
        <w:ind w:left="425" w:hanging="425"/>
        <w:jc w:val="both"/>
        <w:rPr>
          <w:szCs w:val="24"/>
        </w:rPr>
      </w:pPr>
      <w:r w:rsidRPr="00CB4722">
        <w:rPr>
          <w:szCs w:val="24"/>
        </w:rPr>
        <w:t>(11)</w:t>
      </w:r>
      <w:r w:rsidRPr="00CB4722">
        <w:rPr>
          <w:szCs w:val="24"/>
        </w:rPr>
        <w:tab/>
        <w:t>Kiegészítő támogatás igényléséről a működőképességet veszélyeztető helyzet esetében a polgármester gondoskodik, külön képviselő-testületi döntés alapján.</w:t>
      </w:r>
    </w:p>
    <w:p w:rsidR="00F03194" w:rsidRDefault="00F03194" w:rsidP="00F03194">
      <w:pPr>
        <w:spacing w:before="240"/>
        <w:ind w:left="426" w:hanging="426"/>
        <w:jc w:val="both"/>
        <w:rPr>
          <w:szCs w:val="24"/>
        </w:rPr>
      </w:pPr>
      <w:r w:rsidRPr="00CB4722">
        <w:rPr>
          <w:szCs w:val="24"/>
        </w:rPr>
        <w:t>(12) A finanszírozási bevételekkel és kiadásokkal kapcsolatos hatásköröket a Képviselő-testület gyakorolja.</w:t>
      </w:r>
    </w:p>
    <w:p w:rsidR="00F03194" w:rsidRDefault="00F03194" w:rsidP="00F03194">
      <w:pPr>
        <w:spacing w:before="240"/>
        <w:ind w:left="426" w:hanging="426"/>
        <w:jc w:val="both"/>
        <w:rPr>
          <w:szCs w:val="24"/>
        </w:rPr>
      </w:pPr>
    </w:p>
    <w:p w:rsidR="00F03194" w:rsidRPr="00CB4722" w:rsidRDefault="00F03194" w:rsidP="00F03194">
      <w:pPr>
        <w:spacing w:before="240" w:after="240"/>
        <w:jc w:val="center"/>
        <w:rPr>
          <w:b/>
          <w:szCs w:val="24"/>
        </w:rPr>
      </w:pPr>
      <w:r w:rsidRPr="00CB4722">
        <w:rPr>
          <w:b/>
          <w:szCs w:val="24"/>
        </w:rPr>
        <w:t>5. § Az előirányzatok módosítása</w:t>
      </w:r>
    </w:p>
    <w:p w:rsidR="00F03194" w:rsidRPr="00CB4722" w:rsidRDefault="00F03194" w:rsidP="00F03194">
      <w:pPr>
        <w:numPr>
          <w:ilvl w:val="0"/>
          <w:numId w:val="1"/>
        </w:numPr>
        <w:ind w:left="425" w:hanging="425"/>
        <w:jc w:val="both"/>
        <w:rPr>
          <w:bCs/>
          <w:szCs w:val="24"/>
        </w:rPr>
      </w:pPr>
      <w:r w:rsidRPr="00CB4722">
        <w:rPr>
          <w:bCs/>
          <w:szCs w:val="24"/>
        </w:rPr>
        <w:t>Az Önkormányzat bevételeinek és kiadásainak módosításáról, a kiadási előirán</w:t>
      </w:r>
      <w:r w:rsidRPr="00CB4722">
        <w:rPr>
          <w:bCs/>
          <w:szCs w:val="24"/>
        </w:rPr>
        <w:t>y</w:t>
      </w:r>
      <w:r w:rsidRPr="00CB4722">
        <w:rPr>
          <w:bCs/>
          <w:szCs w:val="24"/>
        </w:rPr>
        <w:t>zatok közötti átcsoportosításról a (2) bekezdésben foglalt kivétellel a Képviselő-testület dönt.</w:t>
      </w:r>
    </w:p>
    <w:p w:rsidR="00F03194" w:rsidRPr="00CB4722" w:rsidRDefault="00F03194" w:rsidP="00F03194">
      <w:pPr>
        <w:ind w:left="425"/>
        <w:jc w:val="both"/>
        <w:rPr>
          <w:bCs/>
          <w:szCs w:val="24"/>
        </w:rPr>
      </w:pPr>
    </w:p>
    <w:p w:rsidR="00F03194" w:rsidRPr="00CB4722" w:rsidRDefault="00F03194" w:rsidP="00F03194">
      <w:pPr>
        <w:ind w:left="425" w:hanging="425"/>
        <w:jc w:val="both"/>
        <w:rPr>
          <w:szCs w:val="24"/>
        </w:rPr>
      </w:pPr>
      <w:r w:rsidRPr="00CB4722">
        <w:rPr>
          <w:szCs w:val="24"/>
        </w:rPr>
        <w:t>(2) A Polgármester két testületi ülés közötti időszakban az előirányzatok között a költségvetési főösszeg 5 %-ának erejéig előirányzat átcsoportosítást hajthat végre, melyről a soron következő testületi ülésen köteles beszámolni.</w:t>
      </w:r>
    </w:p>
    <w:p w:rsidR="00F03194" w:rsidRPr="00CB4722" w:rsidRDefault="00F03194" w:rsidP="00F03194">
      <w:pPr>
        <w:ind w:left="425" w:hanging="425"/>
        <w:jc w:val="both"/>
        <w:rPr>
          <w:szCs w:val="24"/>
        </w:rPr>
      </w:pPr>
      <w:r w:rsidRPr="00CB4722">
        <w:rPr>
          <w:szCs w:val="24"/>
        </w:rPr>
        <w:t xml:space="preserve"> (3) Az (2) bekezdésben foglalt átcsoportosításról a polgármester a következő testületi ülésen köteles beszámolni, a költségvetés módosítására egyidejűleg javaslatot tenni. Az átruházott hatáskörű előirányzat-módosítási jogkör 2016. december 31-ig gyakorolható.</w:t>
      </w:r>
    </w:p>
    <w:p w:rsidR="00F03194" w:rsidRPr="00CB4722" w:rsidRDefault="00F03194" w:rsidP="00F03194">
      <w:pPr>
        <w:ind w:left="425" w:hanging="425"/>
        <w:jc w:val="both"/>
        <w:rPr>
          <w:szCs w:val="24"/>
        </w:rPr>
      </w:pPr>
    </w:p>
    <w:p w:rsidR="00F03194" w:rsidRPr="00CB4722" w:rsidRDefault="00F03194" w:rsidP="00F03194">
      <w:pPr>
        <w:ind w:left="425" w:hanging="425"/>
        <w:jc w:val="both"/>
        <w:rPr>
          <w:szCs w:val="24"/>
        </w:rPr>
      </w:pPr>
      <w:r w:rsidRPr="00CB4722">
        <w:rPr>
          <w:szCs w:val="24"/>
        </w:rPr>
        <w:t xml:space="preserve">(4) </w:t>
      </w:r>
      <w:r w:rsidRPr="00CB4722">
        <w:rPr>
          <w:szCs w:val="24"/>
        </w:rPr>
        <w:tab/>
        <w:t>A költségvetési szerv vezetője az intézmény költségvetése kiemelt előirányzatain belüli rovatok között átcsoportosítást hajthat végre. A képviselő-testület által jóváhagyott kiemelt előirányzatokat valamennyi költségvetési szerv köteles betartani, illetve a kiemelt előirányzatok közötti átcsoportosítás engedélyezésére a polgármester jogosult.</w:t>
      </w:r>
    </w:p>
    <w:p w:rsidR="00F03194" w:rsidRPr="00CB4722" w:rsidRDefault="00F03194" w:rsidP="00F03194">
      <w:pPr>
        <w:ind w:left="425" w:hanging="425"/>
        <w:jc w:val="both"/>
        <w:rPr>
          <w:szCs w:val="24"/>
        </w:rPr>
      </w:pPr>
    </w:p>
    <w:p w:rsidR="00F03194" w:rsidRPr="00CB4722" w:rsidRDefault="00F03194" w:rsidP="00F03194">
      <w:pPr>
        <w:ind w:left="454" w:hanging="454"/>
        <w:jc w:val="both"/>
        <w:rPr>
          <w:szCs w:val="24"/>
        </w:rPr>
      </w:pPr>
      <w:r w:rsidRPr="00CB4722">
        <w:rPr>
          <w:szCs w:val="24"/>
        </w:rPr>
        <w:t>(5) A képviselő-testület a költségvetési rendelet 5. § (2) bekezdés szerinti előirányzat-módosítás, előirányzat-átcsoportosítás átv</w:t>
      </w:r>
      <w:r w:rsidRPr="00CB4722">
        <w:rPr>
          <w:szCs w:val="24"/>
        </w:rPr>
        <w:t>e</w:t>
      </w:r>
      <w:r w:rsidRPr="00CB4722">
        <w:rPr>
          <w:szCs w:val="24"/>
        </w:rPr>
        <w:t xml:space="preserve">zetéseként - az első negyedév kivételével – negyedévenként, de legkésőbb az éves költségvetési beszámoló elkészítésének </w:t>
      </w:r>
      <w:r w:rsidRPr="00CB4722">
        <w:rPr>
          <w:szCs w:val="24"/>
        </w:rPr>
        <w:lastRenderedPageBreak/>
        <w:t>határidejéig, december 31-ei hatállyal módosítja a költségvetési rendeletét. Ha év közben az Országgyűlés a hozzájárulások, támogatások előirányzatait zárolja, azokat csökkenti, törli, az intézk</w:t>
      </w:r>
      <w:r w:rsidRPr="00CB4722">
        <w:rPr>
          <w:szCs w:val="24"/>
        </w:rPr>
        <w:t>e</w:t>
      </w:r>
      <w:r w:rsidRPr="00CB4722">
        <w:rPr>
          <w:szCs w:val="24"/>
        </w:rPr>
        <w:t>dés kihirdetését követően haladéktalanul a képviselő-testület elé kell terjeszteni a költségvetési rendelet módos</w:t>
      </w:r>
      <w:r w:rsidRPr="00CB4722">
        <w:rPr>
          <w:szCs w:val="24"/>
        </w:rPr>
        <w:t>í</w:t>
      </w:r>
      <w:r w:rsidRPr="00CB4722">
        <w:rPr>
          <w:szCs w:val="24"/>
        </w:rPr>
        <w:t>tását.</w:t>
      </w:r>
    </w:p>
    <w:p w:rsidR="00F03194" w:rsidRPr="00CB4722" w:rsidRDefault="00F03194" w:rsidP="00F03194">
      <w:pPr>
        <w:spacing w:before="120" w:after="120"/>
        <w:ind w:left="454" w:hanging="454"/>
        <w:jc w:val="both"/>
        <w:rPr>
          <w:szCs w:val="24"/>
        </w:rPr>
      </w:pPr>
      <w:r w:rsidRPr="00CB4722">
        <w:rPr>
          <w:szCs w:val="24"/>
        </w:rPr>
        <w:t xml:space="preserve"> (6)</w:t>
      </w:r>
      <w:r w:rsidRPr="00CB4722">
        <w:rPr>
          <w:szCs w:val="24"/>
        </w:rPr>
        <w:tab/>
        <w:t xml:space="preserve">Amennyiben az önkormányzat év közben a költségvetési rendelet készítésekor nem ismert többletbevételhez jut, vagy bevételei a tervezettől elmaradnak, arról a polgármester a képviselő-testületet tájékoztatja. </w:t>
      </w:r>
    </w:p>
    <w:p w:rsidR="00F03194" w:rsidRPr="00CB4722" w:rsidRDefault="00F03194" w:rsidP="00F03194">
      <w:pPr>
        <w:spacing w:before="240" w:after="240"/>
        <w:jc w:val="center"/>
        <w:rPr>
          <w:b/>
          <w:szCs w:val="24"/>
        </w:rPr>
      </w:pPr>
      <w:r w:rsidRPr="00CB4722">
        <w:rPr>
          <w:b/>
          <w:szCs w:val="24"/>
        </w:rPr>
        <w:t>6. § A gazdálkodás szabályai</w:t>
      </w:r>
    </w:p>
    <w:p w:rsidR="00F03194" w:rsidRPr="00CB4722" w:rsidRDefault="00F03194" w:rsidP="00F03194">
      <w:pPr>
        <w:spacing w:before="120"/>
        <w:ind w:left="456" w:hanging="456"/>
        <w:jc w:val="both"/>
        <w:rPr>
          <w:szCs w:val="24"/>
        </w:rPr>
      </w:pPr>
      <w:r w:rsidRPr="00CB4722">
        <w:rPr>
          <w:szCs w:val="24"/>
        </w:rPr>
        <w:t>(1)</w:t>
      </w:r>
      <w:r w:rsidRPr="00CB4722">
        <w:rPr>
          <w:szCs w:val="24"/>
        </w:rPr>
        <w:tab/>
        <w:t>A költségvetési szervek rendeletben meghatározott bevételi és kiadási előirányzatai felett az intézmények vezetői előirányzat-felhasználási jogkörrel rendelkeznek.</w:t>
      </w:r>
    </w:p>
    <w:p w:rsidR="00F03194" w:rsidRPr="00CB4722" w:rsidRDefault="00F03194" w:rsidP="00F03194">
      <w:pPr>
        <w:spacing w:before="120"/>
        <w:ind w:left="456" w:hanging="456"/>
        <w:jc w:val="both"/>
        <w:rPr>
          <w:szCs w:val="24"/>
        </w:rPr>
      </w:pPr>
      <w:r w:rsidRPr="00CB4722">
        <w:rPr>
          <w:szCs w:val="24"/>
        </w:rPr>
        <w:t>(2)</w:t>
      </w:r>
      <w:r w:rsidRPr="00CB4722">
        <w:rPr>
          <w:szCs w:val="24"/>
        </w:rPr>
        <w:tab/>
        <w:t xml:space="preserve">A költségvetési szervek az alapfeladatai ellátását szolgáló személyi juttatásokkal és az azokhoz kapcsolódó járulékok és egyéb közterhek előirányzataival minden esetben, egyéb előirányzatokkal a költségvetési szervek tekintetében elfogadott, és hatályos munkamegosztási megállapodásban foglaltaknak megfelelően rendelkezik. Az előirányzatok terhére történő kötelezettségvállalás a polgármester egyetértésével történhet. </w:t>
      </w:r>
    </w:p>
    <w:p w:rsidR="00F03194" w:rsidRPr="00CB4722" w:rsidRDefault="00F03194" w:rsidP="00F03194">
      <w:pPr>
        <w:spacing w:before="120"/>
        <w:ind w:left="456" w:hanging="456"/>
        <w:jc w:val="both"/>
        <w:rPr>
          <w:szCs w:val="24"/>
        </w:rPr>
      </w:pPr>
      <w:r w:rsidRPr="00CB4722">
        <w:rPr>
          <w:szCs w:val="24"/>
        </w:rPr>
        <w:t>(3)</w:t>
      </w:r>
      <w:r w:rsidRPr="00CB4722">
        <w:rPr>
          <w:szCs w:val="24"/>
        </w:rPr>
        <w:tab/>
        <w:t>Az Önkormányzat fenntartásában működő intézményekben létszámfelvétel a polgármester jóváhagyásával történhet.</w:t>
      </w:r>
    </w:p>
    <w:p w:rsidR="00F03194" w:rsidRPr="00CB4722" w:rsidRDefault="00F03194" w:rsidP="00F03194">
      <w:pPr>
        <w:spacing w:before="120"/>
        <w:ind w:left="456" w:hanging="456"/>
        <w:jc w:val="both"/>
        <w:rPr>
          <w:szCs w:val="24"/>
        </w:rPr>
      </w:pPr>
      <w:r w:rsidRPr="00CB4722">
        <w:rPr>
          <w:szCs w:val="24"/>
        </w:rPr>
        <w:t>(4)</w:t>
      </w:r>
      <w:r w:rsidRPr="00CB4722">
        <w:rPr>
          <w:szCs w:val="24"/>
        </w:rPr>
        <w:tab/>
        <w:t>A polgármesteri hivatal, valamint a költségvetési szervek az évközi előirányzat-módosításokról a jegyző által elrendelt formában kötelesek naprakész nyilvántartást vezetni.</w:t>
      </w:r>
    </w:p>
    <w:p w:rsidR="00F03194" w:rsidRDefault="00F03194" w:rsidP="00F03194">
      <w:pPr>
        <w:spacing w:before="120"/>
        <w:ind w:left="456" w:hanging="456"/>
        <w:jc w:val="both"/>
        <w:rPr>
          <w:szCs w:val="24"/>
        </w:rPr>
      </w:pPr>
      <w:r w:rsidRPr="00CB4722">
        <w:rPr>
          <w:szCs w:val="24"/>
        </w:rPr>
        <w:t xml:space="preserve">(5) </w:t>
      </w:r>
      <w:r w:rsidRPr="00CB4722">
        <w:rPr>
          <w:szCs w:val="24"/>
        </w:rPr>
        <w:tab/>
        <w:t>A költségvetési intézmények a megállapított bevételi és kiadási előirányzatai felett az intézmények vezetői előirányzat-felhasználási jogkörrel rendelkeznek. A költségvetési intézmény vezetője a saját hatáskörben végrehajtott előirányzat változtatását a havi pénzforgalmi jelentéssel egy időben a Jegyzőnek köteles bejelenteni.</w:t>
      </w:r>
    </w:p>
    <w:p w:rsidR="00F03194" w:rsidRPr="00CB4722" w:rsidRDefault="00F03194" w:rsidP="00F03194">
      <w:pPr>
        <w:spacing w:before="120"/>
        <w:ind w:left="456" w:hanging="456"/>
        <w:jc w:val="both"/>
        <w:rPr>
          <w:szCs w:val="24"/>
        </w:rPr>
      </w:pPr>
      <w:r w:rsidRPr="00CB4722">
        <w:rPr>
          <w:szCs w:val="24"/>
        </w:rPr>
        <w:t>(6)</w:t>
      </w:r>
      <w:r w:rsidRPr="00CB4722">
        <w:rPr>
          <w:szCs w:val="24"/>
        </w:rPr>
        <w:tab/>
        <w:t xml:space="preserve">Az önkormányzat az irányítása alá tartozó intézményhez önkormányzati biztos kirendelését rendeli el akkor, ha az intézmény 30 napon túli lejárt esedékességű elismert tartozásállományának mértéke két egymást követő hónapban eléri az éves eredeti kiadási előirányzatának 10 % - át vagy a 150.000 </w:t>
      </w:r>
      <w:proofErr w:type="spellStart"/>
      <w:r w:rsidRPr="00CB4722">
        <w:rPr>
          <w:szCs w:val="24"/>
        </w:rPr>
        <w:t>eFt-ot</w:t>
      </w:r>
      <w:proofErr w:type="spellEnd"/>
      <w:r w:rsidRPr="00CB4722">
        <w:rPr>
          <w:szCs w:val="24"/>
        </w:rPr>
        <w:t>.</w:t>
      </w:r>
    </w:p>
    <w:p w:rsidR="00F03194" w:rsidRPr="00CB4722" w:rsidRDefault="00F03194" w:rsidP="00F03194">
      <w:pPr>
        <w:spacing w:before="120"/>
        <w:ind w:left="456" w:hanging="456"/>
        <w:jc w:val="both"/>
        <w:rPr>
          <w:szCs w:val="24"/>
        </w:rPr>
      </w:pPr>
      <w:r w:rsidRPr="00CB4722">
        <w:rPr>
          <w:szCs w:val="24"/>
        </w:rPr>
        <w:t>(7)</w:t>
      </w:r>
      <w:r w:rsidRPr="00CB4722">
        <w:rPr>
          <w:szCs w:val="24"/>
        </w:rPr>
        <w:tab/>
        <w:t>Az intézmények tevékenységük során kötelesek a gazdaságosság, a hatékonyság és az eredményesség követelményeit érvényesíteni. A kiadások a bevételek teljesülési ütemére tekintettel teljesíthetők. A saját bevételből tervezett kiadás teljesítésére bevételi elmaradás esetén, annak mértékében nem vállalható kötelezettség.</w:t>
      </w:r>
    </w:p>
    <w:p w:rsidR="00F03194" w:rsidRPr="00CB4722" w:rsidRDefault="00F03194" w:rsidP="00F03194">
      <w:pPr>
        <w:spacing w:before="120"/>
        <w:ind w:left="456" w:hanging="456"/>
        <w:jc w:val="both"/>
        <w:rPr>
          <w:szCs w:val="24"/>
        </w:rPr>
      </w:pPr>
      <w:r w:rsidRPr="00CB4722">
        <w:rPr>
          <w:szCs w:val="24"/>
        </w:rPr>
        <w:t>(8)</w:t>
      </w:r>
      <w:r w:rsidRPr="00CB4722">
        <w:rPr>
          <w:szCs w:val="24"/>
        </w:rPr>
        <w:tab/>
        <w:t xml:space="preserve">Elszámolási kötelezettség terheli az intézményeket a kötött felhasználású állami támogatások esetében. A feladatmutató alapján normatív állami hozzájárulásban részesülő intézmények a tényleges mutatók szerint kötelesek elszámolni a kapott támogatással. A támogatás ellenőrizhetősége érdekében az intézmények kötelesek olyan nyilvántartást vezetni, melyből egyértelműen megállapítható a feladatmutató tényleges teljesülése. </w:t>
      </w:r>
    </w:p>
    <w:p w:rsidR="00F03194" w:rsidRPr="00CB4722" w:rsidRDefault="00F03194" w:rsidP="00F03194">
      <w:pPr>
        <w:spacing w:before="120"/>
        <w:ind w:left="456" w:hanging="456"/>
        <w:jc w:val="both"/>
        <w:rPr>
          <w:szCs w:val="24"/>
        </w:rPr>
      </w:pPr>
      <w:r w:rsidRPr="00CB4722">
        <w:rPr>
          <w:szCs w:val="24"/>
        </w:rPr>
        <w:t xml:space="preserve">(9) </w:t>
      </w:r>
      <w:r w:rsidRPr="00CB4722">
        <w:rPr>
          <w:szCs w:val="24"/>
        </w:rPr>
        <w:tab/>
        <w:t xml:space="preserve">Pénzügyi előirányzat hiányában a gazdálkodó szerv, intézmény vezetője kötelezettséget nem vállalhat, feladat végrehajtását nem kezdheti el. Újabb kötelezettségek vállalása előtt figyelembe kell venni a meglévő, többéves kihatással járó kötelezettségeket, továbbá a fedezetül szolgáló bevételek realizálását. </w:t>
      </w:r>
    </w:p>
    <w:p w:rsidR="00F03194" w:rsidRPr="00CB4722" w:rsidRDefault="00F03194" w:rsidP="00F03194">
      <w:pPr>
        <w:spacing w:before="120"/>
        <w:ind w:left="456" w:hanging="456"/>
        <w:jc w:val="both"/>
        <w:rPr>
          <w:szCs w:val="24"/>
        </w:rPr>
      </w:pPr>
      <w:r w:rsidRPr="00CB4722">
        <w:rPr>
          <w:szCs w:val="24"/>
        </w:rPr>
        <w:lastRenderedPageBreak/>
        <w:t xml:space="preserve">(10) </w:t>
      </w:r>
      <w:r w:rsidRPr="00CB4722">
        <w:rPr>
          <w:szCs w:val="24"/>
        </w:rPr>
        <w:tab/>
        <w:t>A felhalmozási célú bevételek olyan beruházások, felújítások megvalósítására, egyéb felhalmozási célú kiadásokra fordíthatók, amelyek a tervszerű vagyongazdálkodást, városfejlesztést szolgálják.</w:t>
      </w:r>
    </w:p>
    <w:p w:rsidR="00F03194" w:rsidRPr="00CB4722" w:rsidRDefault="00F03194" w:rsidP="00F03194">
      <w:pPr>
        <w:spacing w:before="120"/>
        <w:ind w:left="456" w:hanging="456"/>
        <w:jc w:val="both"/>
        <w:rPr>
          <w:szCs w:val="24"/>
        </w:rPr>
      </w:pPr>
      <w:r w:rsidRPr="00CB4722">
        <w:rPr>
          <w:szCs w:val="24"/>
        </w:rPr>
        <w:t>(11)</w:t>
      </w:r>
      <w:r w:rsidRPr="00CB4722">
        <w:rPr>
          <w:szCs w:val="24"/>
        </w:rPr>
        <w:tab/>
        <w:t>A polgármester intézkedjen az ingatlanok folyamatos bérbeadásáról, valamint a képviselő-testület által értékesítésre kijelölt önkormányzati vagyon értékesítéséről.</w:t>
      </w:r>
    </w:p>
    <w:p w:rsidR="00F03194" w:rsidRPr="00CB4722" w:rsidRDefault="00F03194" w:rsidP="00F03194">
      <w:pPr>
        <w:spacing w:before="120"/>
        <w:ind w:left="456" w:hanging="456"/>
        <w:jc w:val="both"/>
        <w:rPr>
          <w:szCs w:val="24"/>
        </w:rPr>
      </w:pPr>
      <w:r w:rsidRPr="00CB4722">
        <w:rPr>
          <w:szCs w:val="24"/>
        </w:rPr>
        <w:t>(12) Az intézményi költségvetés végrehajtása során a költségvetési szerv vezetője fizetési kötelezettséget a jóváhagyott kiadási előirányzatok mértékéig vállalhat és kifizetéseket is ezen összeghatárig rendelhet el. Az előirányzatok túllépése esetén a fenntartó az intézményvezető beszámoltatását kezdeményezi és indokolt esetben a felelősségre vonása iránt intézkedik.</w:t>
      </w:r>
    </w:p>
    <w:p w:rsidR="00F03194" w:rsidRPr="00CB4722" w:rsidRDefault="00F03194" w:rsidP="00F03194">
      <w:pPr>
        <w:spacing w:before="240" w:after="240"/>
        <w:jc w:val="center"/>
        <w:rPr>
          <w:b/>
          <w:szCs w:val="24"/>
        </w:rPr>
      </w:pPr>
      <w:r w:rsidRPr="00CB4722">
        <w:rPr>
          <w:b/>
          <w:szCs w:val="24"/>
        </w:rPr>
        <w:t>7. § A költségvetés végrehajtásának ellenőrzése</w:t>
      </w:r>
    </w:p>
    <w:p w:rsidR="00F03194" w:rsidRPr="00CB4722" w:rsidRDefault="00F03194" w:rsidP="00F03194">
      <w:pPr>
        <w:spacing w:before="120"/>
        <w:ind w:left="426" w:hanging="426"/>
        <w:jc w:val="both"/>
        <w:rPr>
          <w:szCs w:val="24"/>
        </w:rPr>
      </w:pPr>
      <w:r w:rsidRPr="00CB4722">
        <w:rPr>
          <w:szCs w:val="24"/>
        </w:rPr>
        <w:t>(1)</w:t>
      </w:r>
      <w:r w:rsidRPr="00CB4722">
        <w:rPr>
          <w:szCs w:val="24"/>
        </w:rPr>
        <w:tab/>
        <w:t>Az önkormányzati költségvetési szervek ellenőrzése a belső kontrollrendszer keretében valósul meg, melynek létrehozásáért, működtetésért és továbbfejlesztéséért az önkormányzat esetében a jegyző, az intézmények esetében az intézményvezető felelős.</w:t>
      </w:r>
    </w:p>
    <w:p w:rsidR="00F03194" w:rsidRPr="00CB4722" w:rsidRDefault="00F03194" w:rsidP="00F03194">
      <w:pPr>
        <w:spacing w:before="120"/>
        <w:ind w:left="426" w:hanging="426"/>
        <w:jc w:val="both"/>
        <w:rPr>
          <w:szCs w:val="24"/>
        </w:rPr>
      </w:pPr>
      <w:r w:rsidRPr="00CB4722">
        <w:rPr>
          <w:szCs w:val="24"/>
        </w:rPr>
        <w:t>(2)</w:t>
      </w:r>
      <w:r w:rsidRPr="00CB4722">
        <w:rPr>
          <w:szCs w:val="24"/>
        </w:rPr>
        <w:tab/>
        <w:t>Az Önkormányzat a belső ellenőrzés kialakításáról független belső ellenőr útján gondoskodik. A megfelelő működtetésről és a függetlenség biztosításáról a jegyző köteles gondoskodni.</w:t>
      </w:r>
    </w:p>
    <w:p w:rsidR="00F03194" w:rsidRPr="00CB4722" w:rsidRDefault="00F03194" w:rsidP="00965A0A">
      <w:pPr>
        <w:pStyle w:val="Cmsor1"/>
        <w:spacing w:after="240"/>
        <w:jc w:val="center"/>
        <w:rPr>
          <w:rFonts w:ascii="Times New Roman" w:hAnsi="Times New Roman"/>
          <w:sz w:val="24"/>
          <w:szCs w:val="24"/>
        </w:rPr>
      </w:pPr>
      <w:r w:rsidRPr="00CB4722">
        <w:rPr>
          <w:rFonts w:ascii="Times New Roman" w:hAnsi="Times New Roman"/>
          <w:sz w:val="24"/>
          <w:szCs w:val="24"/>
        </w:rPr>
        <w:t>8. § Záró és vegyes rendelkezések</w:t>
      </w:r>
    </w:p>
    <w:p w:rsidR="00F03194" w:rsidRPr="00CB4722" w:rsidRDefault="00F03194" w:rsidP="00F03194">
      <w:pPr>
        <w:rPr>
          <w:szCs w:val="24"/>
        </w:rPr>
      </w:pPr>
    </w:p>
    <w:p w:rsidR="00F03194" w:rsidRPr="00CB4722" w:rsidRDefault="00F03194" w:rsidP="00F03194">
      <w:pPr>
        <w:spacing w:before="120"/>
        <w:ind w:left="426" w:hanging="426"/>
        <w:jc w:val="both"/>
        <w:rPr>
          <w:szCs w:val="24"/>
        </w:rPr>
      </w:pPr>
      <w:r w:rsidRPr="00CB4722">
        <w:rPr>
          <w:szCs w:val="24"/>
        </w:rPr>
        <w:t>(1)</w:t>
      </w:r>
      <w:r w:rsidRPr="00CB4722">
        <w:rPr>
          <w:szCs w:val="24"/>
        </w:rPr>
        <w:tab/>
        <w:t xml:space="preserve">Ez a rendelet </w:t>
      </w:r>
      <w:r>
        <w:rPr>
          <w:szCs w:val="24"/>
        </w:rPr>
        <w:t>a kihirdetését követő napon lép hatályba.</w:t>
      </w:r>
    </w:p>
    <w:p w:rsidR="00F03194" w:rsidRPr="00CB4722" w:rsidRDefault="00F03194" w:rsidP="00F03194">
      <w:pPr>
        <w:spacing w:before="120"/>
        <w:ind w:left="426" w:hanging="426"/>
        <w:jc w:val="both"/>
        <w:rPr>
          <w:szCs w:val="24"/>
        </w:rPr>
      </w:pPr>
    </w:p>
    <w:p w:rsidR="00F03194" w:rsidRPr="00CB4722" w:rsidRDefault="00F03194" w:rsidP="00F03194">
      <w:pPr>
        <w:spacing w:before="60" w:after="120"/>
        <w:jc w:val="both"/>
        <w:rPr>
          <w:szCs w:val="24"/>
        </w:rPr>
      </w:pPr>
    </w:p>
    <w:p w:rsidR="00F03194" w:rsidRPr="00CB4722" w:rsidRDefault="00F03194" w:rsidP="00F03194">
      <w:pPr>
        <w:spacing w:before="60" w:after="120"/>
        <w:jc w:val="both"/>
        <w:rPr>
          <w:szCs w:val="24"/>
        </w:rPr>
      </w:pPr>
    </w:p>
    <w:p w:rsidR="00F03194" w:rsidRPr="00183779" w:rsidRDefault="00F03194" w:rsidP="00F03194">
      <w:pPr>
        <w:spacing w:before="60" w:after="120"/>
        <w:jc w:val="both"/>
        <w:rPr>
          <w:rFonts w:ascii="Garamond" w:hAnsi="Garamond"/>
          <w:szCs w:val="24"/>
        </w:rPr>
      </w:pPr>
    </w:p>
    <w:tbl>
      <w:tblPr>
        <w:tblW w:w="9072" w:type="dxa"/>
        <w:tblInd w:w="70" w:type="dxa"/>
        <w:tblLayout w:type="fixed"/>
        <w:tblCellMar>
          <w:left w:w="70" w:type="dxa"/>
          <w:right w:w="70" w:type="dxa"/>
        </w:tblCellMar>
        <w:tblLook w:val="0000"/>
      </w:tblPr>
      <w:tblGrid>
        <w:gridCol w:w="4492"/>
        <w:gridCol w:w="4580"/>
      </w:tblGrid>
      <w:tr w:rsidR="00F03194" w:rsidRPr="00183779" w:rsidTr="006F19A7">
        <w:tblPrEx>
          <w:tblCellMar>
            <w:top w:w="0" w:type="dxa"/>
            <w:bottom w:w="0" w:type="dxa"/>
          </w:tblCellMar>
        </w:tblPrEx>
        <w:trPr>
          <w:trHeight w:val="340"/>
        </w:trPr>
        <w:tc>
          <w:tcPr>
            <w:tcW w:w="4492" w:type="dxa"/>
          </w:tcPr>
          <w:p w:rsidR="00F03194" w:rsidRPr="00183779" w:rsidRDefault="00F03194" w:rsidP="006F19A7">
            <w:pPr>
              <w:jc w:val="center"/>
              <w:rPr>
                <w:rFonts w:ascii="Garamond" w:hAnsi="Garamond"/>
                <w:szCs w:val="24"/>
              </w:rPr>
            </w:pPr>
            <w:r>
              <w:rPr>
                <w:rFonts w:ascii="Garamond" w:hAnsi="Garamond"/>
                <w:szCs w:val="24"/>
              </w:rPr>
              <w:t>Berencsi Béla</w:t>
            </w:r>
          </w:p>
        </w:tc>
        <w:tc>
          <w:tcPr>
            <w:tcW w:w="4580" w:type="dxa"/>
          </w:tcPr>
          <w:p w:rsidR="00F03194" w:rsidRPr="00183779" w:rsidRDefault="00F03194" w:rsidP="006F19A7">
            <w:pPr>
              <w:jc w:val="center"/>
              <w:rPr>
                <w:rFonts w:ascii="Garamond" w:hAnsi="Garamond"/>
                <w:szCs w:val="24"/>
              </w:rPr>
            </w:pPr>
            <w:proofErr w:type="spellStart"/>
            <w:r>
              <w:rPr>
                <w:rFonts w:ascii="Garamond" w:hAnsi="Garamond"/>
                <w:szCs w:val="24"/>
              </w:rPr>
              <w:t>Bakosiné</w:t>
            </w:r>
            <w:proofErr w:type="spellEnd"/>
            <w:r>
              <w:rPr>
                <w:rFonts w:ascii="Garamond" w:hAnsi="Garamond"/>
                <w:szCs w:val="24"/>
              </w:rPr>
              <w:t xml:space="preserve"> Márton Mária</w:t>
            </w:r>
          </w:p>
        </w:tc>
      </w:tr>
      <w:tr w:rsidR="00F03194" w:rsidRPr="00183779" w:rsidTr="006F19A7">
        <w:tblPrEx>
          <w:tblCellMar>
            <w:top w:w="0" w:type="dxa"/>
            <w:bottom w:w="0" w:type="dxa"/>
          </w:tblCellMar>
        </w:tblPrEx>
        <w:trPr>
          <w:trHeight w:val="340"/>
        </w:trPr>
        <w:tc>
          <w:tcPr>
            <w:tcW w:w="4492" w:type="dxa"/>
          </w:tcPr>
          <w:p w:rsidR="00F03194" w:rsidRPr="00183779" w:rsidRDefault="00F03194" w:rsidP="006F19A7">
            <w:pPr>
              <w:jc w:val="center"/>
              <w:rPr>
                <w:rFonts w:ascii="Garamond" w:hAnsi="Garamond"/>
                <w:szCs w:val="24"/>
              </w:rPr>
            </w:pPr>
            <w:r>
              <w:rPr>
                <w:rFonts w:ascii="Garamond" w:hAnsi="Garamond"/>
                <w:szCs w:val="24"/>
              </w:rPr>
              <w:t>polgármester</w:t>
            </w:r>
          </w:p>
        </w:tc>
        <w:tc>
          <w:tcPr>
            <w:tcW w:w="4580" w:type="dxa"/>
          </w:tcPr>
          <w:p w:rsidR="00F03194" w:rsidRPr="00183779" w:rsidRDefault="00F03194" w:rsidP="006F19A7">
            <w:pPr>
              <w:jc w:val="center"/>
              <w:rPr>
                <w:rFonts w:ascii="Garamond" w:hAnsi="Garamond"/>
                <w:szCs w:val="24"/>
              </w:rPr>
            </w:pPr>
            <w:r>
              <w:rPr>
                <w:rFonts w:ascii="Garamond" w:hAnsi="Garamond"/>
                <w:szCs w:val="24"/>
              </w:rPr>
              <w:t>jegyző</w:t>
            </w:r>
          </w:p>
        </w:tc>
      </w:tr>
    </w:tbl>
    <w:p w:rsidR="00134408" w:rsidRDefault="00134408"/>
    <w:sectPr w:rsidR="00134408" w:rsidSect="001344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068BA"/>
    <w:multiLevelType w:val="hybridMultilevel"/>
    <w:tmpl w:val="0A7C76A6"/>
    <w:lvl w:ilvl="0" w:tplc="C5409BA2">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3194"/>
    <w:rsid w:val="00134408"/>
    <w:rsid w:val="00965A0A"/>
    <w:rsid w:val="00F0319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3194"/>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uiPriority w:val="9"/>
    <w:qFormat/>
    <w:rsid w:val="00F03194"/>
    <w:pPr>
      <w:keepNext/>
      <w:spacing w:before="240" w:after="60"/>
      <w:outlineLvl w:val="0"/>
    </w:pPr>
    <w:rPr>
      <w:rFonts w:ascii="Calibri Light" w:hAnsi="Calibri Light"/>
      <w:b/>
      <w:bCs/>
      <w:kern w:val="32"/>
      <w:sz w:val="32"/>
      <w:szCs w:val="32"/>
      <w:lang/>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03194"/>
    <w:rPr>
      <w:rFonts w:ascii="Calibri Light" w:eastAsia="Times New Roman" w:hAnsi="Calibri Light" w:cs="Times New Roman"/>
      <w:b/>
      <w:bCs/>
      <w:kern w:val="32"/>
      <w:sz w:val="32"/>
      <w:szCs w:val="32"/>
      <w:lang/>
    </w:rPr>
  </w:style>
  <w:style w:type="paragraph" w:styleId="Szvegtrzs2">
    <w:name w:val="Body Text 2"/>
    <w:basedOn w:val="Norml"/>
    <w:link w:val="Szvegtrzs2Char"/>
    <w:rsid w:val="00F03194"/>
    <w:pPr>
      <w:spacing w:after="120" w:line="480" w:lineRule="auto"/>
    </w:pPr>
    <w:rPr>
      <w:lang/>
    </w:rPr>
  </w:style>
  <w:style w:type="character" w:customStyle="1" w:styleId="Szvegtrzs2Char">
    <w:name w:val="Szövegtörzs 2 Char"/>
    <w:basedOn w:val="Bekezdsalapbettpusa"/>
    <w:link w:val="Szvegtrzs2"/>
    <w:rsid w:val="00F03194"/>
    <w:rPr>
      <w:rFonts w:ascii="Times New Roman" w:eastAsia="Times New Roman" w:hAnsi="Times New Roman" w:cs="Times New Roman"/>
      <w:sz w:val="24"/>
      <w:szCs w:val="20"/>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1594</Words>
  <Characters>11006</Characters>
  <Application>Microsoft Office Word</Application>
  <DocSecurity>0</DocSecurity>
  <Lines>91</Lines>
  <Paragraphs>25</Paragraphs>
  <ScaleCrop>false</ScaleCrop>
  <Company/>
  <LinksUpToDate>false</LinksUpToDate>
  <CharactersWithSpaces>12575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2</cp:revision>
  <dcterms:created xsi:type="dcterms:W3CDTF">2016-03-04T14:01:00Z</dcterms:created>
  <dcterms:modified xsi:type="dcterms:W3CDTF">2016-03-04T14:04:00Z</dcterms:modified>
</cp:coreProperties>
</file>