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94" w:rsidRDefault="00254B94" w:rsidP="00254B94">
      <w:pPr>
        <w:jc w:val="right"/>
        <w:rPr>
          <w:szCs w:val="24"/>
        </w:rPr>
      </w:pPr>
    </w:p>
    <w:p w:rsidR="00254B94" w:rsidRDefault="00254B94" w:rsidP="00254B94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254B94" w:rsidRDefault="00254B94" w:rsidP="00254B94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254B94" w:rsidRDefault="00254B94" w:rsidP="00254B94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4. melléklete</w:t>
      </w:r>
      <w:r w:rsidR="00F51BCA">
        <w:rPr>
          <w:rStyle w:val="Lbjegyzet-hivatkozs"/>
          <w:b/>
          <w:bCs/>
          <w:iCs/>
          <w:szCs w:val="24"/>
        </w:rPr>
        <w:footnoteReference w:id="1"/>
      </w:r>
    </w:p>
    <w:p w:rsidR="00254B94" w:rsidRDefault="00254B94" w:rsidP="00254B94">
      <w:pPr>
        <w:jc w:val="right"/>
        <w:rPr>
          <w:szCs w:val="24"/>
        </w:rPr>
      </w:pPr>
    </w:p>
    <w:p w:rsidR="00254B94" w:rsidRDefault="00254B94" w:rsidP="00254B94">
      <w:pPr>
        <w:jc w:val="right"/>
        <w:rPr>
          <w:szCs w:val="24"/>
        </w:rPr>
      </w:pPr>
    </w:p>
    <w:p w:rsidR="00254B94" w:rsidRDefault="00254B94" w:rsidP="00254B94">
      <w:pPr>
        <w:jc w:val="center"/>
        <w:rPr>
          <w:b/>
          <w:bCs/>
          <w:iCs/>
          <w:szCs w:val="24"/>
        </w:rPr>
      </w:pPr>
    </w:p>
    <w:p w:rsidR="00254B94" w:rsidRDefault="00254B94" w:rsidP="00254B94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KIMUTATÁS</w:t>
      </w:r>
    </w:p>
    <w:p w:rsidR="00254B94" w:rsidRDefault="00254B94" w:rsidP="00254B94">
      <w:pPr>
        <w:jc w:val="center"/>
        <w:rPr>
          <w:b/>
          <w:bCs/>
          <w:iCs/>
          <w:szCs w:val="24"/>
        </w:rPr>
      </w:pPr>
    </w:p>
    <w:p w:rsidR="00254B94" w:rsidRDefault="00254B94" w:rsidP="00254B94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Az önkormányzati tulajdonban lévő saját kivitelezésben felújított, karbantartott határozott időre bérbeadott költségtérítéses lakásokról</w:t>
      </w:r>
    </w:p>
    <w:p w:rsidR="00254B94" w:rsidRDefault="00254B94" w:rsidP="00254B94">
      <w:pPr>
        <w:jc w:val="center"/>
        <w:rPr>
          <w:b/>
          <w:bCs/>
          <w:iCs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735"/>
        <w:gridCol w:w="3098"/>
        <w:gridCol w:w="2698"/>
      </w:tblGrid>
      <w:tr w:rsidR="00254B94" w:rsidTr="00793A85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after="160"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sorszám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Cím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Komfortfokozat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alapterület   m2</w:t>
            </w:r>
          </w:p>
        </w:tc>
      </w:tr>
      <w:tr w:rsidR="00254B94" w:rsidTr="00793A85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Default="00254B94" w:rsidP="00254B94">
            <w:pPr>
              <w:numPr>
                <w:ilvl w:val="0"/>
                <w:numId w:val="1"/>
              </w:numPr>
              <w:spacing w:line="256" w:lineRule="auto"/>
              <w:rPr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Ibrány, Radnóti u. 2.</w:t>
            </w:r>
          </w:p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Komfortos    II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</w:tr>
      <w:tr w:rsidR="00254B94" w:rsidTr="00793A85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Default="00254B94" w:rsidP="00254B94">
            <w:pPr>
              <w:numPr>
                <w:ilvl w:val="0"/>
                <w:numId w:val="1"/>
              </w:numPr>
              <w:spacing w:line="256" w:lineRule="auto"/>
              <w:rPr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Ibrány, Nagyerdő 40.</w:t>
            </w:r>
          </w:p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Komfortos    I.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</w:tr>
      <w:tr w:rsidR="00254B94" w:rsidTr="00793A85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Default="00254B94" w:rsidP="00254B94">
            <w:pPr>
              <w:numPr>
                <w:ilvl w:val="0"/>
                <w:numId w:val="1"/>
              </w:numPr>
              <w:spacing w:line="256" w:lineRule="auto"/>
              <w:rPr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Ibrány, Bajcsy u. 13. </w:t>
            </w:r>
          </w:p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Komfortos    I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254B94" w:rsidRPr="00CF0094" w:rsidTr="00793A85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Pr="00CF0094" w:rsidRDefault="00254B94" w:rsidP="00254B94">
            <w:pPr>
              <w:numPr>
                <w:ilvl w:val="0"/>
                <w:numId w:val="1"/>
              </w:numPr>
              <w:spacing w:line="256" w:lineRule="auto"/>
              <w:rPr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Pr="00CF00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F0094">
              <w:rPr>
                <w:sz w:val="22"/>
                <w:szCs w:val="22"/>
                <w:lang w:eastAsia="en-US"/>
              </w:rPr>
              <w:t>Ibrány, Óvoda u. 18.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Pr="00CF0094" w:rsidRDefault="00254B94" w:rsidP="00793A85">
            <w:pPr>
              <w:spacing w:line="256" w:lineRule="auto"/>
              <w:rPr>
                <w:szCs w:val="22"/>
                <w:lang w:eastAsia="en-US"/>
              </w:rPr>
            </w:pPr>
            <w:r w:rsidRPr="00CF0094">
              <w:rPr>
                <w:szCs w:val="22"/>
                <w:lang w:eastAsia="en-US"/>
              </w:rPr>
              <w:t>Komfortos 0.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Pr="00CF00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F0094">
              <w:rPr>
                <w:sz w:val="22"/>
                <w:szCs w:val="22"/>
                <w:lang w:eastAsia="en-US"/>
              </w:rPr>
              <w:t>104</w:t>
            </w:r>
          </w:p>
        </w:tc>
      </w:tr>
      <w:tr w:rsidR="00254B94" w:rsidRPr="00CF0094" w:rsidTr="00793A85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Pr="00CF0094" w:rsidRDefault="00254B94" w:rsidP="00254B94">
            <w:pPr>
              <w:numPr>
                <w:ilvl w:val="0"/>
                <w:numId w:val="1"/>
              </w:numPr>
              <w:spacing w:line="256" w:lineRule="auto"/>
              <w:rPr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Pr="00CF00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F0094">
              <w:rPr>
                <w:sz w:val="22"/>
                <w:szCs w:val="22"/>
                <w:lang w:eastAsia="en-US"/>
              </w:rPr>
              <w:t>Ibrány, Rákóczi u. 3.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Pr="00CF0094" w:rsidRDefault="00254B94" w:rsidP="00793A85">
            <w:pPr>
              <w:spacing w:line="256" w:lineRule="auto"/>
              <w:rPr>
                <w:szCs w:val="22"/>
                <w:lang w:eastAsia="en-US"/>
              </w:rPr>
            </w:pPr>
            <w:r w:rsidRPr="00CF0094">
              <w:rPr>
                <w:szCs w:val="22"/>
                <w:lang w:eastAsia="en-US"/>
              </w:rPr>
              <w:t>Komfortos 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Pr="00CF00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F0094">
              <w:rPr>
                <w:sz w:val="22"/>
                <w:szCs w:val="22"/>
                <w:lang w:eastAsia="en-US"/>
              </w:rPr>
              <w:t>87</w:t>
            </w:r>
          </w:p>
        </w:tc>
      </w:tr>
    </w:tbl>
    <w:p w:rsidR="00254B94" w:rsidRDefault="00254B94" w:rsidP="00254B94">
      <w:pPr>
        <w:jc w:val="right"/>
        <w:rPr>
          <w:szCs w:val="24"/>
        </w:rPr>
      </w:pPr>
    </w:p>
    <w:p w:rsidR="00254B94" w:rsidRDefault="00254B94" w:rsidP="00254B94">
      <w:pPr>
        <w:jc w:val="right"/>
        <w:rPr>
          <w:szCs w:val="24"/>
        </w:rPr>
      </w:pPr>
    </w:p>
    <w:p w:rsidR="00254B94" w:rsidRDefault="00254B94" w:rsidP="00254B94"/>
    <w:p w:rsidR="007D583D" w:rsidRDefault="007D583D"/>
    <w:sectPr w:rsidR="007D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BCA" w:rsidRDefault="00F51BCA" w:rsidP="00F51BCA">
      <w:r>
        <w:separator/>
      </w:r>
    </w:p>
  </w:endnote>
  <w:endnote w:type="continuationSeparator" w:id="0">
    <w:p w:rsidR="00F51BCA" w:rsidRDefault="00F51BCA" w:rsidP="00F5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BCA" w:rsidRDefault="00F51BCA" w:rsidP="00F51BCA">
      <w:r>
        <w:separator/>
      </w:r>
    </w:p>
  </w:footnote>
  <w:footnote w:type="continuationSeparator" w:id="0">
    <w:p w:rsidR="00F51BCA" w:rsidRDefault="00F51BCA" w:rsidP="00F51BCA">
      <w:r>
        <w:continuationSeparator/>
      </w:r>
    </w:p>
  </w:footnote>
  <w:footnote w:id="1">
    <w:p w:rsidR="00F51BCA" w:rsidRDefault="00F51BCA">
      <w:pPr>
        <w:pStyle w:val="Lbjegyzetszveg"/>
      </w:pPr>
      <w:r>
        <w:rPr>
          <w:rStyle w:val="Lbjegyzet-hivatkozs"/>
        </w:rPr>
        <w:footnoteRef/>
      </w:r>
      <w:r>
        <w:t xml:space="preserve"> Hatályos: 2020. március 1. 2/2020 (II.18) önkormányzati rendelet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94"/>
    <w:rsid w:val="00254B94"/>
    <w:rsid w:val="00502781"/>
    <w:rsid w:val="007D583D"/>
    <w:rsid w:val="00CB1C8D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2295"/>
  <w15:chartTrackingRefBased/>
  <w15:docId w15:val="{C4C0751B-1D02-48D2-A41E-9AF29E74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51BC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1B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51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BDDA-5293-45A8-ADA1-321BE6DA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545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4</cp:revision>
  <dcterms:created xsi:type="dcterms:W3CDTF">2020-02-18T12:22:00Z</dcterms:created>
  <dcterms:modified xsi:type="dcterms:W3CDTF">2020-02-18T12:23:00Z</dcterms:modified>
</cp:coreProperties>
</file>