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83" w:rsidRDefault="00F44483" w:rsidP="00F44483">
      <w:pPr>
        <w:pStyle w:val="Cm"/>
        <w:rPr>
          <w:b w:val="0"/>
          <w:i w:val="0"/>
          <w:iCs/>
          <w:szCs w:val="24"/>
          <w:u w:val="none"/>
        </w:rPr>
      </w:pPr>
      <w:r>
        <w:rPr>
          <w:b w:val="0"/>
          <w:i w:val="0"/>
          <w:iCs/>
          <w:szCs w:val="24"/>
          <w:u w:val="none"/>
        </w:rPr>
        <w:t>IBRÁNY VÁROS ÖNKORMÁNYZATA KÉPVISELŐ TESTÜLETÉNEK</w:t>
      </w:r>
    </w:p>
    <w:p w:rsidR="00F44483" w:rsidRDefault="00F44483" w:rsidP="00F44483">
      <w:pPr>
        <w:pStyle w:val="Cm"/>
        <w:rPr>
          <w:b w:val="0"/>
          <w:i w:val="0"/>
          <w:iCs/>
          <w:szCs w:val="24"/>
          <w:u w:val="none"/>
        </w:rPr>
      </w:pPr>
      <w:r>
        <w:rPr>
          <w:b w:val="0"/>
          <w:i w:val="0"/>
          <w:iCs/>
          <w:szCs w:val="24"/>
          <w:u w:val="none"/>
        </w:rPr>
        <w:t>1</w:t>
      </w:r>
      <w:r>
        <w:rPr>
          <w:b w:val="0"/>
          <w:i w:val="0"/>
          <w:iCs/>
          <w:szCs w:val="24"/>
          <w:u w:val="none"/>
        </w:rPr>
        <w:t>/2020. (</w:t>
      </w:r>
      <w:r>
        <w:rPr>
          <w:b w:val="0"/>
          <w:i w:val="0"/>
          <w:iCs/>
          <w:szCs w:val="24"/>
          <w:u w:val="none"/>
        </w:rPr>
        <w:t>I.28.</w:t>
      </w:r>
      <w:r>
        <w:rPr>
          <w:b w:val="0"/>
          <w:i w:val="0"/>
          <w:iCs/>
          <w:szCs w:val="24"/>
          <w:u w:val="none"/>
        </w:rPr>
        <w:t>) önkormányzati rendelete</w:t>
      </w:r>
    </w:p>
    <w:p w:rsidR="00F44483" w:rsidRDefault="00F44483" w:rsidP="00F44483">
      <w:pPr>
        <w:pStyle w:val="Cm"/>
        <w:rPr>
          <w:b w:val="0"/>
          <w:i w:val="0"/>
          <w:iCs/>
          <w:szCs w:val="24"/>
          <w:u w:val="none"/>
        </w:rPr>
      </w:pPr>
    </w:p>
    <w:p w:rsidR="00F44483" w:rsidRDefault="00F44483" w:rsidP="00F44483">
      <w:pPr>
        <w:pStyle w:val="Cm"/>
        <w:rPr>
          <w:b w:val="0"/>
          <w:i w:val="0"/>
          <w:iCs/>
          <w:szCs w:val="24"/>
          <w:u w:val="none"/>
        </w:rPr>
      </w:pPr>
      <w:r>
        <w:rPr>
          <w:b w:val="0"/>
          <w:i w:val="0"/>
          <w:iCs/>
          <w:szCs w:val="24"/>
          <w:u w:val="none"/>
        </w:rPr>
        <w:t xml:space="preserve"> Ibrány Város Önkormányzata és Szervei Szervezeti és Működési Szabályzatáról szóló 5/2011. (II.25.) önkormányzati rendelet módosításáról</w:t>
      </w:r>
    </w:p>
    <w:p w:rsidR="00F44483" w:rsidRDefault="00F44483" w:rsidP="00F44483">
      <w:pPr>
        <w:pStyle w:val="Cm"/>
        <w:rPr>
          <w:b w:val="0"/>
          <w:i w:val="0"/>
          <w:iCs/>
          <w:szCs w:val="24"/>
          <w:u w:val="none"/>
        </w:rPr>
      </w:pPr>
    </w:p>
    <w:p w:rsidR="00F44483" w:rsidRDefault="00F44483" w:rsidP="00F44483"/>
    <w:p w:rsidR="00F44483" w:rsidRDefault="00F44483" w:rsidP="00F44483">
      <w:pPr>
        <w:jc w:val="both"/>
      </w:pPr>
      <w: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F44483" w:rsidRDefault="00F44483" w:rsidP="00F44483">
      <w:pPr>
        <w:jc w:val="both"/>
      </w:pPr>
    </w:p>
    <w:p w:rsidR="00F44483" w:rsidRDefault="00F44483" w:rsidP="00F44483">
      <w:pPr>
        <w:numPr>
          <w:ilvl w:val="0"/>
          <w:numId w:val="1"/>
        </w:numPr>
        <w:jc w:val="center"/>
        <w:rPr>
          <w:b/>
          <w:bCs/>
        </w:rPr>
      </w:pPr>
      <w:r>
        <w:rPr>
          <w:b/>
          <w:bCs/>
        </w:rPr>
        <w:t>§</w:t>
      </w:r>
    </w:p>
    <w:p w:rsidR="00F44483" w:rsidRDefault="00F44483" w:rsidP="00F44483">
      <w:pPr>
        <w:jc w:val="center"/>
      </w:pPr>
    </w:p>
    <w:p w:rsidR="00F44483" w:rsidRDefault="00F44483" w:rsidP="00F44483">
      <w:pPr>
        <w:jc w:val="both"/>
        <w:rPr>
          <w:b/>
          <w:bCs/>
        </w:rPr>
      </w:pPr>
      <w:r>
        <w:rPr>
          <w:b/>
          <w:bCs/>
        </w:rPr>
        <w:t>Ibrány Város Önkormányzata és Szervei Szervezeti és Működési Szabályzatáról szóló 5/2011. (II.25.) önkormányzati rendelet (a továbbiakban: Rendelet</w:t>
      </w:r>
      <w:r w:rsidR="00A2629A">
        <w:rPr>
          <w:b/>
          <w:bCs/>
        </w:rPr>
        <w:t>)</w:t>
      </w:r>
      <w:r>
        <w:rPr>
          <w:b/>
          <w:bCs/>
        </w:rPr>
        <w:t xml:space="preserve"> 6.§ (9) bekezdése helyébe a következő rendelkezés lép:</w:t>
      </w:r>
    </w:p>
    <w:p w:rsidR="00F44483" w:rsidRDefault="00F44483" w:rsidP="00F44483">
      <w:pPr>
        <w:jc w:val="both"/>
        <w:rPr>
          <w:b/>
          <w:bCs/>
        </w:rPr>
      </w:pPr>
    </w:p>
    <w:p w:rsidR="00F44483" w:rsidRDefault="00F44483" w:rsidP="00F44483">
      <w:pPr>
        <w:pStyle w:val="Cm"/>
        <w:jc w:val="both"/>
        <w:rPr>
          <w:b w:val="0"/>
          <w:bCs/>
          <w:i w:val="0"/>
          <w:iCs/>
          <w:u w:val="none"/>
        </w:rPr>
      </w:pPr>
      <w:r>
        <w:rPr>
          <w:b w:val="0"/>
          <w:bCs/>
          <w:i w:val="0"/>
          <w:iCs/>
          <w:u w:val="none"/>
        </w:rPr>
        <w:t>„(9) A polgármesteri és az alpolgármesteri tisztség egyidejű betöltetlensége, illetőleg tartós akadályoztatásuk esetére az Önkormányzat a Szavazatszámláló Ügyrendi Jogi Bizottság elnökét hatalmazza fel a Képviselő-testület összehívására, s az így összehívott testületi ülés vezetésére. A testületi ülés vezetésével kapcsolatos szabályok vonatkoznak a Szavazatszámláló Ügyrendi Jogi Bizottság elnökére is”</w:t>
      </w:r>
    </w:p>
    <w:p w:rsidR="00F44483" w:rsidRDefault="00F44483" w:rsidP="00F44483">
      <w:pPr>
        <w:jc w:val="both"/>
        <w:rPr>
          <w:b/>
          <w:bCs/>
        </w:rPr>
      </w:pPr>
    </w:p>
    <w:p w:rsidR="00F44483" w:rsidRDefault="00F44483" w:rsidP="00F44483">
      <w:pPr>
        <w:jc w:val="both"/>
        <w:rPr>
          <w:b/>
          <w:bCs/>
        </w:rPr>
      </w:pPr>
    </w:p>
    <w:p w:rsidR="00F44483" w:rsidRDefault="00F44483" w:rsidP="00F44483">
      <w:pPr>
        <w:jc w:val="center"/>
        <w:rPr>
          <w:b/>
          <w:bCs/>
        </w:rPr>
      </w:pPr>
      <w:r>
        <w:rPr>
          <w:b/>
          <w:bCs/>
        </w:rPr>
        <w:t>2.§</w:t>
      </w:r>
    </w:p>
    <w:p w:rsidR="00F44483" w:rsidRDefault="00F44483" w:rsidP="00F44483">
      <w:pPr>
        <w:jc w:val="center"/>
      </w:pPr>
    </w:p>
    <w:p w:rsidR="00F44483" w:rsidRDefault="00F44483" w:rsidP="00F44483">
      <w:pPr>
        <w:jc w:val="both"/>
        <w:rPr>
          <w:b/>
          <w:bCs/>
        </w:rPr>
      </w:pPr>
      <w:r>
        <w:rPr>
          <w:b/>
          <w:bCs/>
        </w:rPr>
        <w:t>A Rendelet 14.§ (5) bekezdésének helyébe a következő rendelkezés lép és az alábbi új, (8) bekezdéssel egészül ki:</w:t>
      </w:r>
      <w:bookmarkStart w:id="0" w:name="_GoBack"/>
      <w:bookmarkEnd w:id="0"/>
    </w:p>
    <w:p w:rsidR="00F44483" w:rsidRDefault="00F44483" w:rsidP="00F44483">
      <w:pPr>
        <w:jc w:val="both"/>
        <w:rPr>
          <w:b/>
          <w:bCs/>
        </w:rPr>
      </w:pPr>
    </w:p>
    <w:p w:rsidR="00F44483" w:rsidRDefault="00F44483" w:rsidP="00F44483">
      <w:pPr>
        <w:pStyle w:val="NormlWeb"/>
        <w:spacing w:before="0" w:beforeAutospacing="0" w:after="0" w:afterAutospacing="0"/>
      </w:pPr>
      <w:r>
        <w:rPr>
          <w:b/>
          <w:bCs/>
        </w:rPr>
        <w:t>„</w:t>
      </w:r>
      <w:r>
        <w:t>(5) A titkos szavazást a Szavazatszámláló-Ügyrendi és Jogi Bizottság bonyolítja le, bizottság hiányában az erre a célra megválasztott eseti bizottság. A szavazás eredményéről a Szavazatszámláló- Ügyrendi és Jogi Bizottság elnöke, ennek hiányában az eseti bizottság elnöke  tesz jelentést a testületnek.”</w:t>
      </w:r>
    </w:p>
    <w:p w:rsidR="00F44483" w:rsidRDefault="00F44483" w:rsidP="00F44483">
      <w:pPr>
        <w:pStyle w:val="NormlWeb"/>
        <w:spacing w:before="0" w:beforeAutospacing="0" w:after="0" w:afterAutospacing="0"/>
      </w:pPr>
      <w:r>
        <w:t>……..</w:t>
      </w:r>
    </w:p>
    <w:p w:rsidR="00F44483" w:rsidRDefault="00F44483" w:rsidP="00F44483">
      <w:pPr>
        <w:pStyle w:val="NormlWeb"/>
        <w:spacing w:before="0" w:beforeAutospacing="0" w:after="0" w:afterAutospacing="0"/>
        <w:jc w:val="both"/>
      </w:pPr>
      <w:r>
        <w:t>„(8) A képviselő-testület – bármely tagjának javaslatára - rendbírsággal sújthatja azt a képviselőt, aki a határozat meghozatala előtt  a személyes érintettségre vonatkozó bejelentési kötelezettségét  elmulasztotta. A rendbírság összege 10.000.-Ft.”</w:t>
      </w:r>
    </w:p>
    <w:p w:rsidR="00F44483" w:rsidRDefault="00F44483" w:rsidP="00F44483">
      <w:pPr>
        <w:jc w:val="both"/>
        <w:rPr>
          <w:b/>
          <w:bCs/>
        </w:rPr>
      </w:pPr>
    </w:p>
    <w:p w:rsidR="00F44483" w:rsidRDefault="00F44483" w:rsidP="00F44483">
      <w:pPr>
        <w:jc w:val="center"/>
        <w:rPr>
          <w:b/>
          <w:bCs/>
        </w:rPr>
      </w:pPr>
    </w:p>
    <w:p w:rsidR="00F44483" w:rsidRDefault="00F44483" w:rsidP="00F44483">
      <w:pPr>
        <w:jc w:val="center"/>
        <w:rPr>
          <w:b/>
          <w:bCs/>
        </w:rPr>
      </w:pPr>
    </w:p>
    <w:p w:rsidR="00F44483" w:rsidRDefault="00F44483" w:rsidP="00F44483">
      <w:pPr>
        <w:jc w:val="center"/>
        <w:rPr>
          <w:b/>
          <w:bCs/>
        </w:rPr>
      </w:pPr>
      <w:r>
        <w:rPr>
          <w:b/>
          <w:bCs/>
        </w:rPr>
        <w:t>3.§</w:t>
      </w:r>
    </w:p>
    <w:p w:rsidR="00F44483" w:rsidRDefault="00F44483" w:rsidP="00F44483">
      <w:pPr>
        <w:jc w:val="both"/>
        <w:rPr>
          <w:b/>
          <w:bCs/>
        </w:rPr>
      </w:pPr>
      <w:r>
        <w:rPr>
          <w:b/>
          <w:bCs/>
        </w:rPr>
        <w:t>A Rendelet 16.§-ának  (2)  bekezdése helyébe a következő rendelkezés lép:</w:t>
      </w:r>
    </w:p>
    <w:p w:rsidR="00F44483" w:rsidRDefault="00F44483" w:rsidP="00F44483">
      <w:pPr>
        <w:jc w:val="both"/>
      </w:pPr>
    </w:p>
    <w:p w:rsidR="00F44483" w:rsidRDefault="00F44483" w:rsidP="00F44483">
      <w:pPr>
        <w:pStyle w:val="Cm"/>
        <w:jc w:val="both"/>
        <w:rPr>
          <w:b w:val="0"/>
          <w:bCs/>
          <w:i w:val="0"/>
          <w:iCs/>
          <w:u w:val="none"/>
        </w:rPr>
      </w:pPr>
      <w:r>
        <w:rPr>
          <w:b w:val="0"/>
          <w:bCs/>
          <w:i w:val="0"/>
          <w:iCs/>
          <w:u w:val="none"/>
        </w:rPr>
        <w:t xml:space="preserve">„(2.)Elfogadott határozat az lesz, amelyik több igenlő szavazatot kapott, feltéve, hogy megkapta a jelenlévők többségének szavazatát, illetve ha minősített döntés szükséges, a 15.§.(2) bekezdésében meghatározott számú minimális szavazatot” </w:t>
      </w:r>
    </w:p>
    <w:p w:rsidR="00F44483" w:rsidRDefault="00F44483" w:rsidP="00F44483">
      <w:pPr>
        <w:jc w:val="both"/>
      </w:pPr>
    </w:p>
    <w:p w:rsidR="00F44483" w:rsidRDefault="00F44483" w:rsidP="00F44483">
      <w:pPr>
        <w:jc w:val="both"/>
      </w:pPr>
    </w:p>
    <w:p w:rsidR="00F44483" w:rsidRDefault="00F44483" w:rsidP="00F44483">
      <w:pPr>
        <w:pStyle w:val="Cm"/>
        <w:rPr>
          <w:bCs/>
          <w:i w:val="0"/>
          <w:szCs w:val="24"/>
          <w:u w:val="none"/>
        </w:rPr>
      </w:pPr>
      <w:r>
        <w:rPr>
          <w:bCs/>
          <w:i w:val="0"/>
          <w:szCs w:val="24"/>
          <w:u w:val="none"/>
        </w:rPr>
        <w:lastRenderedPageBreak/>
        <w:t>4.§</w:t>
      </w:r>
    </w:p>
    <w:p w:rsidR="00F44483" w:rsidRDefault="00F44483" w:rsidP="00F44483">
      <w:pPr>
        <w:pStyle w:val="Cm"/>
        <w:rPr>
          <w:b w:val="0"/>
          <w:i w:val="0"/>
          <w:szCs w:val="24"/>
          <w:u w:val="none"/>
        </w:rPr>
      </w:pPr>
    </w:p>
    <w:p w:rsidR="00F44483" w:rsidRDefault="00F44483" w:rsidP="00F44483">
      <w:pPr>
        <w:pStyle w:val="Cm"/>
        <w:jc w:val="both"/>
        <w:rPr>
          <w:bCs/>
          <w:i w:val="0"/>
          <w:szCs w:val="24"/>
          <w:u w:val="none"/>
        </w:rPr>
      </w:pPr>
      <w:r>
        <w:rPr>
          <w:bCs/>
          <w:i w:val="0"/>
          <w:szCs w:val="24"/>
          <w:u w:val="none"/>
        </w:rPr>
        <w:t>A Rendelet 20.§ (2) bekezdésének helyébe a következő rendelkezés lép:</w:t>
      </w:r>
    </w:p>
    <w:p w:rsidR="00F44483" w:rsidRDefault="00F44483" w:rsidP="00F44483">
      <w:pPr>
        <w:pStyle w:val="Cm"/>
        <w:jc w:val="both"/>
        <w:rPr>
          <w:b w:val="0"/>
          <w:i w:val="0"/>
          <w:szCs w:val="24"/>
          <w:u w:val="none"/>
        </w:rPr>
      </w:pPr>
    </w:p>
    <w:p w:rsidR="00F44483" w:rsidRDefault="00F44483" w:rsidP="00F44483">
      <w:pPr>
        <w:pStyle w:val="NormlWeb"/>
      </w:pPr>
      <w:r>
        <w:rPr>
          <w:bCs/>
          <w:iCs/>
        </w:rPr>
        <w:t>„(2) A</w:t>
      </w:r>
      <w:r>
        <w:t xml:space="preserve"> rendeletek egységes szerkezetbe foglalt szövegét a kihirdetést követő egy héten belül meg kell jelentetni az önkormányzat hivatalos honlapján (</w:t>
      </w:r>
      <w:hyperlink r:id="rId5" w:history="1">
        <w:r>
          <w:rPr>
            <w:rStyle w:val="Hiperhivatkozs"/>
          </w:rPr>
          <w:t>www.ibrany.hu)</w:t>
        </w:r>
      </w:hyperlink>
      <w:r>
        <w:t>.”</w:t>
      </w:r>
    </w:p>
    <w:p w:rsidR="00F44483" w:rsidRDefault="00F44483" w:rsidP="00F44483">
      <w:pPr>
        <w:pStyle w:val="Cm"/>
        <w:jc w:val="both"/>
        <w:rPr>
          <w:b w:val="0"/>
          <w:i w:val="0"/>
          <w:szCs w:val="24"/>
          <w:u w:val="none"/>
        </w:rPr>
      </w:pPr>
    </w:p>
    <w:p w:rsidR="00F44483" w:rsidRDefault="00F44483" w:rsidP="00F44483">
      <w:pPr>
        <w:pStyle w:val="Cm"/>
        <w:rPr>
          <w:bCs/>
          <w:i w:val="0"/>
          <w:szCs w:val="24"/>
          <w:u w:val="none"/>
        </w:rPr>
      </w:pPr>
      <w:r>
        <w:rPr>
          <w:bCs/>
          <w:i w:val="0"/>
          <w:szCs w:val="24"/>
          <w:u w:val="none"/>
        </w:rPr>
        <w:t>5.§</w:t>
      </w:r>
    </w:p>
    <w:p w:rsidR="00F44483" w:rsidRDefault="00F44483" w:rsidP="00F44483">
      <w:pPr>
        <w:pStyle w:val="Cm"/>
        <w:rPr>
          <w:b w:val="0"/>
          <w:i w:val="0"/>
          <w:szCs w:val="24"/>
          <w:u w:val="none"/>
        </w:rPr>
      </w:pPr>
    </w:p>
    <w:p w:rsidR="00F44483" w:rsidRDefault="00F44483" w:rsidP="00F44483">
      <w:pPr>
        <w:pStyle w:val="Cm"/>
        <w:jc w:val="both"/>
        <w:rPr>
          <w:bCs/>
          <w:i w:val="0"/>
          <w:szCs w:val="24"/>
          <w:u w:val="none"/>
        </w:rPr>
      </w:pPr>
      <w:r>
        <w:rPr>
          <w:bCs/>
          <w:i w:val="0"/>
          <w:szCs w:val="24"/>
          <w:u w:val="none"/>
        </w:rPr>
        <w:t>A Rendelet 36.§  (2) bekezdése-a helyébe a következő rendelkezés lép:</w:t>
      </w:r>
    </w:p>
    <w:p w:rsidR="00F44483" w:rsidRDefault="00F44483" w:rsidP="00F44483">
      <w:pPr>
        <w:pStyle w:val="Cm"/>
        <w:jc w:val="both"/>
        <w:rPr>
          <w:bCs/>
          <w:i w:val="0"/>
          <w:szCs w:val="24"/>
          <w:u w:val="none"/>
        </w:rPr>
      </w:pPr>
    </w:p>
    <w:p w:rsidR="00F44483" w:rsidRDefault="00F44483" w:rsidP="00F44483">
      <w:pPr>
        <w:pStyle w:val="NormlWeb"/>
      </w:pPr>
      <w:r>
        <w:rPr>
          <w:bCs/>
          <w:i/>
        </w:rPr>
        <w:t>„</w:t>
      </w:r>
      <w:r>
        <w:rPr>
          <w:rStyle w:val="Kiemels"/>
          <w:b/>
          <w:bCs/>
        </w:rPr>
        <w:t>(</w:t>
      </w:r>
      <w:r>
        <w:t>2) Az alábbi bizottságok  tagjai kötelezettek vagyonnyilatkozat tételére:</w:t>
      </w:r>
    </w:p>
    <w:p w:rsidR="00F44483" w:rsidRDefault="00F44483" w:rsidP="00F44483">
      <w:pPr>
        <w:pStyle w:val="NormlWeb"/>
        <w:numPr>
          <w:ilvl w:val="0"/>
          <w:numId w:val="2"/>
        </w:numPr>
      </w:pPr>
      <w:r>
        <w:t>Pénzügyi Bizottság</w:t>
      </w:r>
    </w:p>
    <w:p w:rsidR="00F44483" w:rsidRDefault="00F44483" w:rsidP="00F44483">
      <w:pPr>
        <w:pStyle w:val="NormlWeb"/>
        <w:numPr>
          <w:ilvl w:val="0"/>
          <w:numId w:val="2"/>
        </w:numPr>
      </w:pPr>
      <w:r>
        <w:t>Szociális-és Egészségügyi Bizottság</w:t>
      </w:r>
    </w:p>
    <w:p w:rsidR="00F44483" w:rsidRDefault="00F44483" w:rsidP="00F44483">
      <w:pPr>
        <w:pStyle w:val="NormlWeb"/>
        <w:numPr>
          <w:ilvl w:val="0"/>
          <w:numId w:val="2"/>
        </w:numPr>
      </w:pPr>
      <w:r>
        <w:t xml:space="preserve"> Közbeszerzési Bizottság”</w:t>
      </w:r>
    </w:p>
    <w:p w:rsidR="00F44483" w:rsidRDefault="00F44483" w:rsidP="00F44483">
      <w:pPr>
        <w:pStyle w:val="Cm"/>
        <w:jc w:val="both"/>
        <w:rPr>
          <w:bCs/>
          <w:i w:val="0"/>
          <w:szCs w:val="24"/>
          <w:u w:val="none"/>
        </w:rPr>
      </w:pPr>
    </w:p>
    <w:p w:rsidR="00F44483" w:rsidRDefault="00F44483" w:rsidP="00F44483">
      <w:pPr>
        <w:pStyle w:val="Cm"/>
        <w:rPr>
          <w:bCs/>
          <w:i w:val="0"/>
          <w:szCs w:val="24"/>
          <w:u w:val="none"/>
        </w:rPr>
      </w:pPr>
      <w:r>
        <w:rPr>
          <w:bCs/>
          <w:i w:val="0"/>
          <w:szCs w:val="24"/>
          <w:u w:val="none"/>
        </w:rPr>
        <w:t>6.§</w:t>
      </w:r>
    </w:p>
    <w:p w:rsidR="00F44483" w:rsidRDefault="00F44483" w:rsidP="00F44483">
      <w:pPr>
        <w:pStyle w:val="Cm"/>
        <w:rPr>
          <w:bCs/>
          <w:i w:val="0"/>
          <w:szCs w:val="24"/>
          <w:u w:val="none"/>
        </w:rPr>
      </w:pPr>
    </w:p>
    <w:p w:rsidR="00F44483" w:rsidRDefault="00F44483" w:rsidP="00F44483">
      <w:pPr>
        <w:pStyle w:val="Cm"/>
        <w:jc w:val="both"/>
        <w:rPr>
          <w:bCs/>
          <w:i w:val="0"/>
          <w:szCs w:val="24"/>
          <w:u w:val="none"/>
        </w:rPr>
      </w:pPr>
      <w:r>
        <w:rPr>
          <w:bCs/>
          <w:i w:val="0"/>
          <w:szCs w:val="24"/>
          <w:u w:val="none"/>
        </w:rPr>
        <w:t>A Rendelet 39.§ (2) bekezdésének 1. pontja helyébe a következő rendelkezés lép:</w:t>
      </w:r>
    </w:p>
    <w:p w:rsidR="00F44483" w:rsidRDefault="00F44483" w:rsidP="00F44483">
      <w:pPr>
        <w:pStyle w:val="Cm"/>
        <w:jc w:val="both"/>
        <w:rPr>
          <w:bCs/>
          <w:i w:val="0"/>
          <w:szCs w:val="24"/>
          <w:u w:val="none"/>
        </w:rPr>
      </w:pPr>
    </w:p>
    <w:p w:rsidR="00F44483" w:rsidRDefault="00F44483" w:rsidP="00F44483">
      <w:pPr>
        <w:pStyle w:val="NormlWeb"/>
        <w:ind w:left="420"/>
        <w:rPr>
          <w:i/>
          <w:iCs/>
        </w:rPr>
      </w:pPr>
      <w:r>
        <w:rPr>
          <w:i/>
          <w:iCs/>
        </w:rPr>
        <w:t>(2) Szavazatszámláló Ügyrendi Jogi Bizottság feladatai</w:t>
      </w:r>
    </w:p>
    <w:p w:rsidR="00F44483" w:rsidRDefault="00F44483" w:rsidP="00F44483">
      <w:pPr>
        <w:spacing w:before="100" w:beforeAutospacing="1" w:after="100" w:afterAutospacing="1"/>
        <w:ind w:left="360"/>
      </w:pPr>
      <w:r>
        <w:t>„ 1. Ellátja a 14. § (5) bekezdésében meghatározott eset kivételével a titkos szavazás lebonyolításával kapcsolatos teendőket.”</w:t>
      </w:r>
    </w:p>
    <w:p w:rsidR="00F44483" w:rsidRDefault="00F44483" w:rsidP="00F44483">
      <w:pPr>
        <w:pStyle w:val="Cm"/>
        <w:jc w:val="both"/>
        <w:rPr>
          <w:bCs/>
          <w:i w:val="0"/>
          <w:szCs w:val="24"/>
          <w:u w:val="none"/>
        </w:rPr>
      </w:pPr>
    </w:p>
    <w:p w:rsidR="00F44483" w:rsidRDefault="00F44483" w:rsidP="00F44483">
      <w:pPr>
        <w:pStyle w:val="Cm"/>
        <w:rPr>
          <w:bCs/>
          <w:i w:val="0"/>
          <w:szCs w:val="24"/>
          <w:u w:val="none"/>
        </w:rPr>
      </w:pPr>
      <w:r>
        <w:rPr>
          <w:bCs/>
          <w:i w:val="0"/>
          <w:szCs w:val="24"/>
          <w:u w:val="none"/>
        </w:rPr>
        <w:t>7.§</w:t>
      </w:r>
    </w:p>
    <w:p w:rsidR="00F44483" w:rsidRDefault="00F44483" w:rsidP="00F44483">
      <w:pPr>
        <w:pStyle w:val="Cm"/>
        <w:rPr>
          <w:bCs/>
          <w:i w:val="0"/>
          <w:szCs w:val="24"/>
          <w:u w:val="none"/>
        </w:rPr>
      </w:pPr>
    </w:p>
    <w:p w:rsidR="00F44483" w:rsidRDefault="00F44483" w:rsidP="00F44483">
      <w:pPr>
        <w:pStyle w:val="Cm"/>
        <w:jc w:val="both"/>
        <w:rPr>
          <w:bCs/>
          <w:i w:val="0"/>
          <w:szCs w:val="24"/>
          <w:u w:val="none"/>
        </w:rPr>
      </w:pPr>
      <w:r>
        <w:rPr>
          <w:bCs/>
          <w:i w:val="0"/>
          <w:szCs w:val="24"/>
          <w:u w:val="none"/>
        </w:rPr>
        <w:t>A Rendelet 44.§-a az alábbi új, (6) bekezdéssel egészül ki:</w:t>
      </w:r>
    </w:p>
    <w:p w:rsidR="00F44483" w:rsidRDefault="00F44483" w:rsidP="00F44483">
      <w:pPr>
        <w:pStyle w:val="Cm"/>
        <w:jc w:val="both"/>
        <w:rPr>
          <w:bCs/>
          <w:i w:val="0"/>
          <w:szCs w:val="24"/>
          <w:u w:val="none"/>
        </w:rPr>
      </w:pPr>
    </w:p>
    <w:p w:rsidR="00F44483" w:rsidRDefault="00F44483" w:rsidP="00F44483">
      <w:pPr>
        <w:pStyle w:val="Cm"/>
        <w:jc w:val="both"/>
        <w:rPr>
          <w:b w:val="0"/>
          <w:i w:val="0"/>
          <w:szCs w:val="24"/>
          <w:u w:val="none"/>
        </w:rPr>
      </w:pPr>
      <w:r>
        <w:rPr>
          <w:b w:val="0"/>
          <w:i w:val="0"/>
          <w:szCs w:val="24"/>
          <w:u w:val="none"/>
        </w:rPr>
        <w:t>„(6) A jegyzőt távolléte, illetve tartós akadályoztatása esetén legfeljebb hat hónapra a  Pénzügyi és Városfejlesztési Iroda Vezetője helyettesíti.”</w:t>
      </w:r>
    </w:p>
    <w:p w:rsidR="00F44483" w:rsidRDefault="00F44483" w:rsidP="00F44483">
      <w:pPr>
        <w:pStyle w:val="Cm"/>
        <w:jc w:val="both"/>
        <w:rPr>
          <w:bCs/>
          <w:i w:val="0"/>
          <w:szCs w:val="24"/>
          <w:u w:val="none"/>
        </w:rPr>
      </w:pPr>
    </w:p>
    <w:p w:rsidR="00F44483" w:rsidRDefault="00F44483" w:rsidP="00F44483">
      <w:pPr>
        <w:pStyle w:val="Cm"/>
        <w:jc w:val="both"/>
        <w:rPr>
          <w:b w:val="0"/>
          <w:bCs/>
          <w:i w:val="0"/>
          <w:iCs/>
          <w:u w:val="none"/>
        </w:rPr>
      </w:pPr>
    </w:p>
    <w:p w:rsidR="00F44483" w:rsidRDefault="00F44483" w:rsidP="00F44483">
      <w:pPr>
        <w:pStyle w:val="Cm"/>
        <w:rPr>
          <w:bCs/>
          <w:i w:val="0"/>
          <w:szCs w:val="24"/>
          <w:u w:val="none"/>
        </w:rPr>
      </w:pPr>
      <w:r>
        <w:rPr>
          <w:bCs/>
          <w:i w:val="0"/>
          <w:szCs w:val="24"/>
          <w:u w:val="none"/>
        </w:rPr>
        <w:t>8.§</w:t>
      </w:r>
    </w:p>
    <w:p w:rsidR="00F44483" w:rsidRDefault="00F44483" w:rsidP="00F44483">
      <w:pPr>
        <w:pStyle w:val="Cm"/>
        <w:jc w:val="both"/>
        <w:rPr>
          <w:b w:val="0"/>
          <w:i w:val="0"/>
          <w:szCs w:val="24"/>
          <w:u w:val="none"/>
        </w:rPr>
      </w:pPr>
    </w:p>
    <w:p w:rsidR="00F44483" w:rsidRDefault="00F44483" w:rsidP="00F44483">
      <w:pPr>
        <w:pStyle w:val="Cm"/>
        <w:numPr>
          <w:ilvl w:val="0"/>
          <w:numId w:val="3"/>
        </w:numPr>
        <w:jc w:val="both"/>
        <w:rPr>
          <w:b w:val="0"/>
          <w:i w:val="0"/>
          <w:szCs w:val="24"/>
          <w:u w:val="none"/>
        </w:rPr>
      </w:pPr>
      <w:r>
        <w:rPr>
          <w:b w:val="0"/>
          <w:i w:val="0"/>
          <w:szCs w:val="24"/>
          <w:u w:val="none"/>
        </w:rPr>
        <w:t>Ez a rendelet a kihirdetését követő napon lép hatályba és a hatálybalépését követő napon egyidejűleg hatályát veszti.</w:t>
      </w:r>
    </w:p>
    <w:p w:rsidR="00F44483" w:rsidRDefault="00F44483" w:rsidP="00F44483">
      <w:pPr>
        <w:pStyle w:val="Cm"/>
        <w:numPr>
          <w:ilvl w:val="0"/>
          <w:numId w:val="3"/>
        </w:numPr>
        <w:jc w:val="both"/>
        <w:rPr>
          <w:b w:val="0"/>
          <w:i w:val="0"/>
          <w:szCs w:val="24"/>
          <w:u w:val="none"/>
        </w:rPr>
      </w:pPr>
      <w:r>
        <w:rPr>
          <w:b w:val="0"/>
          <w:i w:val="0"/>
          <w:szCs w:val="24"/>
          <w:u w:val="none"/>
        </w:rPr>
        <w:t>Hatályát veszti a Rendelet 22§-a.</w:t>
      </w:r>
    </w:p>
    <w:p w:rsidR="00F44483" w:rsidRDefault="00F44483" w:rsidP="00F44483">
      <w:pPr>
        <w:pStyle w:val="Cm"/>
        <w:jc w:val="both"/>
        <w:rPr>
          <w:b w:val="0"/>
          <w:i w:val="0"/>
          <w:szCs w:val="24"/>
          <w:u w:val="none"/>
        </w:rPr>
      </w:pPr>
    </w:p>
    <w:p w:rsidR="00F44483" w:rsidRDefault="00F44483" w:rsidP="00F44483">
      <w:pPr>
        <w:pStyle w:val="Cm"/>
        <w:jc w:val="both"/>
        <w:rPr>
          <w:b w:val="0"/>
          <w:i w:val="0"/>
          <w:szCs w:val="24"/>
          <w:u w:val="none"/>
        </w:rPr>
      </w:pPr>
      <w:r>
        <w:rPr>
          <w:b w:val="0"/>
          <w:i w:val="0"/>
          <w:szCs w:val="24"/>
          <w:u w:val="none"/>
        </w:rPr>
        <w:t xml:space="preserve">Ibrány, 2020. január 27.            </w:t>
      </w:r>
    </w:p>
    <w:p w:rsidR="00F44483" w:rsidRDefault="00F44483" w:rsidP="00F44483">
      <w:pPr>
        <w:pStyle w:val="Cm"/>
        <w:jc w:val="both"/>
        <w:rPr>
          <w:b w:val="0"/>
          <w:i w:val="0"/>
          <w:szCs w:val="24"/>
          <w:u w:val="none"/>
        </w:rPr>
      </w:pPr>
      <w:r>
        <w:rPr>
          <w:b w:val="0"/>
          <w:i w:val="0"/>
          <w:szCs w:val="24"/>
          <w:u w:val="none"/>
        </w:rPr>
        <w:t xml:space="preserve">                                   </w:t>
      </w:r>
    </w:p>
    <w:p w:rsidR="00F44483" w:rsidRDefault="00F44483" w:rsidP="00F44483">
      <w:pPr>
        <w:pStyle w:val="Cm"/>
        <w:jc w:val="both"/>
        <w:rPr>
          <w:b w:val="0"/>
          <w:i w:val="0"/>
          <w:szCs w:val="24"/>
          <w:u w:val="none"/>
        </w:rPr>
      </w:pPr>
      <w:r>
        <w:rPr>
          <w:b w:val="0"/>
          <w:i w:val="0"/>
          <w:szCs w:val="24"/>
          <w:u w:val="none"/>
        </w:rPr>
        <w:t xml:space="preserve">                                            Trencsényi Imre sk.                        Bakosiné Márton Mária sk.</w:t>
      </w:r>
    </w:p>
    <w:p w:rsidR="00933AAC" w:rsidRDefault="00F44483" w:rsidP="00F44483">
      <w:pPr>
        <w:pStyle w:val="Cm"/>
        <w:ind w:left="2832"/>
        <w:jc w:val="both"/>
      </w:pPr>
      <w:r>
        <w:rPr>
          <w:b w:val="0"/>
          <w:i w:val="0"/>
          <w:sz w:val="22"/>
          <w:szCs w:val="22"/>
          <w:u w:val="none"/>
        </w:rPr>
        <w:t>Polgármester                                         jegyző</w:t>
      </w:r>
    </w:p>
    <w:sectPr w:rsidR="00933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7BE9"/>
    <w:multiLevelType w:val="hybridMultilevel"/>
    <w:tmpl w:val="9CAC0F6C"/>
    <w:lvl w:ilvl="0" w:tplc="78BEAA60">
      <w:start w:val="1"/>
      <w:numFmt w:val="lowerLetter"/>
      <w:lvlText w:val="%1)"/>
      <w:lvlJc w:val="left"/>
      <w:pPr>
        <w:ind w:left="840" w:hanging="360"/>
      </w:pPr>
    </w:lvl>
    <w:lvl w:ilvl="1" w:tplc="040E0019">
      <w:start w:val="1"/>
      <w:numFmt w:val="lowerLetter"/>
      <w:lvlText w:val="%2."/>
      <w:lvlJc w:val="left"/>
      <w:pPr>
        <w:ind w:left="1560" w:hanging="360"/>
      </w:pPr>
    </w:lvl>
    <w:lvl w:ilvl="2" w:tplc="040E001B">
      <w:start w:val="1"/>
      <w:numFmt w:val="lowerRoman"/>
      <w:lvlText w:val="%3."/>
      <w:lvlJc w:val="right"/>
      <w:pPr>
        <w:ind w:left="2280" w:hanging="180"/>
      </w:pPr>
    </w:lvl>
    <w:lvl w:ilvl="3" w:tplc="040E000F">
      <w:start w:val="1"/>
      <w:numFmt w:val="decimal"/>
      <w:lvlText w:val="%4."/>
      <w:lvlJc w:val="left"/>
      <w:pPr>
        <w:ind w:left="3000" w:hanging="360"/>
      </w:pPr>
    </w:lvl>
    <w:lvl w:ilvl="4" w:tplc="040E0019">
      <w:start w:val="1"/>
      <w:numFmt w:val="lowerLetter"/>
      <w:lvlText w:val="%5."/>
      <w:lvlJc w:val="left"/>
      <w:pPr>
        <w:ind w:left="3720" w:hanging="360"/>
      </w:pPr>
    </w:lvl>
    <w:lvl w:ilvl="5" w:tplc="040E001B">
      <w:start w:val="1"/>
      <w:numFmt w:val="lowerRoman"/>
      <w:lvlText w:val="%6."/>
      <w:lvlJc w:val="right"/>
      <w:pPr>
        <w:ind w:left="4440" w:hanging="180"/>
      </w:pPr>
    </w:lvl>
    <w:lvl w:ilvl="6" w:tplc="040E000F">
      <w:start w:val="1"/>
      <w:numFmt w:val="decimal"/>
      <w:lvlText w:val="%7."/>
      <w:lvlJc w:val="left"/>
      <w:pPr>
        <w:ind w:left="5160" w:hanging="360"/>
      </w:pPr>
    </w:lvl>
    <w:lvl w:ilvl="7" w:tplc="040E0019">
      <w:start w:val="1"/>
      <w:numFmt w:val="lowerLetter"/>
      <w:lvlText w:val="%8."/>
      <w:lvlJc w:val="left"/>
      <w:pPr>
        <w:ind w:left="5880" w:hanging="360"/>
      </w:pPr>
    </w:lvl>
    <w:lvl w:ilvl="8" w:tplc="040E001B">
      <w:start w:val="1"/>
      <w:numFmt w:val="lowerRoman"/>
      <w:lvlText w:val="%9."/>
      <w:lvlJc w:val="right"/>
      <w:pPr>
        <w:ind w:left="6600" w:hanging="180"/>
      </w:pPr>
    </w:lvl>
  </w:abstractNum>
  <w:abstractNum w:abstractNumId="1"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2" w15:restartNumberingAfterBreak="0">
    <w:nsid w:val="596F4A7D"/>
    <w:multiLevelType w:val="hybridMultilevel"/>
    <w:tmpl w:val="289687FC"/>
    <w:lvl w:ilvl="0" w:tplc="9EA2388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83"/>
    <w:rsid w:val="00933AAC"/>
    <w:rsid w:val="00A2629A"/>
    <w:rsid w:val="00C91244"/>
    <w:rsid w:val="00F444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9918"/>
  <w15:chartTrackingRefBased/>
  <w15:docId w15:val="{6B612F6F-DFAA-4170-8687-4B052455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48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unhideWhenUsed/>
    <w:rsid w:val="00F44483"/>
    <w:rPr>
      <w:rFonts w:ascii="Times New Roman" w:hAnsi="Times New Roman" w:cs="Times New Roman" w:hint="default"/>
      <w:color w:val="0000FF"/>
      <w:u w:val="single"/>
    </w:rPr>
  </w:style>
  <w:style w:type="character" w:styleId="Kiemels">
    <w:name w:val="Emphasis"/>
    <w:qFormat/>
    <w:rsid w:val="00F44483"/>
    <w:rPr>
      <w:rFonts w:ascii="Times New Roman" w:hAnsi="Times New Roman" w:cs="Times New Roman" w:hint="default"/>
      <w:i/>
      <w:iCs/>
    </w:rPr>
  </w:style>
  <w:style w:type="paragraph" w:styleId="NormlWeb">
    <w:name w:val="Normal (Web)"/>
    <w:basedOn w:val="Norml"/>
    <w:semiHidden/>
    <w:unhideWhenUsed/>
    <w:rsid w:val="00F44483"/>
    <w:pPr>
      <w:spacing w:before="100" w:beforeAutospacing="1" w:after="100" w:afterAutospacing="1"/>
    </w:pPr>
    <w:rPr>
      <w:rFonts w:eastAsia="Calibri"/>
    </w:rPr>
  </w:style>
  <w:style w:type="paragraph" w:styleId="Cm">
    <w:name w:val="Title"/>
    <w:basedOn w:val="Norml"/>
    <w:link w:val="CmChar"/>
    <w:qFormat/>
    <w:rsid w:val="00F44483"/>
    <w:pPr>
      <w:jc w:val="center"/>
    </w:pPr>
    <w:rPr>
      <w:b/>
      <w:i/>
      <w:szCs w:val="20"/>
      <w:u w:val="single"/>
    </w:rPr>
  </w:style>
  <w:style w:type="character" w:customStyle="1" w:styleId="CmChar">
    <w:name w:val="Cím Char"/>
    <w:basedOn w:val="Bekezdsalapbettpusa"/>
    <w:link w:val="Cm"/>
    <w:rsid w:val="00F44483"/>
    <w:rPr>
      <w:rFonts w:ascii="Times New Roman" w:eastAsia="Times New Roman" w:hAnsi="Times New Roman" w:cs="Times New Roman"/>
      <w:b/>
      <w:i/>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bra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3162</Characters>
  <Application>Microsoft Office Word</Application>
  <DocSecurity>0</DocSecurity>
  <Lines>26</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4</cp:revision>
  <dcterms:created xsi:type="dcterms:W3CDTF">2020-01-28T13:26:00Z</dcterms:created>
  <dcterms:modified xsi:type="dcterms:W3CDTF">2020-01-28T13:37:00Z</dcterms:modified>
</cp:coreProperties>
</file>