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85" w:rsidRPr="006D5F85" w:rsidRDefault="006D5F85" w:rsidP="006D5F85">
      <w:pPr>
        <w:tabs>
          <w:tab w:val="left" w:pos="2410"/>
          <w:tab w:val="left" w:pos="3119"/>
        </w:tabs>
        <w:jc w:val="center"/>
        <w:rPr>
          <w:b/>
          <w:bCs/>
          <w:sz w:val="24"/>
          <w:szCs w:val="24"/>
        </w:rPr>
      </w:pPr>
      <w:r w:rsidRPr="006D5F85">
        <w:rPr>
          <w:b/>
          <w:bCs/>
          <w:sz w:val="24"/>
          <w:szCs w:val="24"/>
        </w:rPr>
        <w:t>B1</w:t>
      </w:r>
    </w:p>
    <w:p w:rsidR="00311158" w:rsidRPr="006D5F85" w:rsidRDefault="00311158" w:rsidP="006D5F85">
      <w:pPr>
        <w:tabs>
          <w:tab w:val="left" w:pos="2410"/>
          <w:tab w:val="left" w:pos="3119"/>
        </w:tabs>
        <w:jc w:val="center"/>
        <w:rPr>
          <w:b/>
          <w:bCs/>
          <w:sz w:val="24"/>
          <w:szCs w:val="24"/>
        </w:rPr>
      </w:pPr>
      <w:r w:rsidRPr="006D5F85">
        <w:rPr>
          <w:b/>
          <w:bCs/>
          <w:sz w:val="24"/>
          <w:szCs w:val="24"/>
        </w:rPr>
        <w:t>IBRÁNY VÁROS KÉPVISELŐ- TESTÜLETÉNEK</w:t>
      </w:r>
    </w:p>
    <w:p w:rsidR="00311158" w:rsidRPr="006D5F85" w:rsidRDefault="006D5F85" w:rsidP="006854D7">
      <w:pPr>
        <w:spacing w:before="240"/>
        <w:jc w:val="center"/>
        <w:rPr>
          <w:b/>
          <w:bCs/>
          <w:sz w:val="24"/>
          <w:szCs w:val="24"/>
        </w:rPr>
      </w:pPr>
      <w:r w:rsidRPr="006D5F85">
        <w:rPr>
          <w:b/>
          <w:bCs/>
          <w:sz w:val="24"/>
          <w:szCs w:val="24"/>
        </w:rPr>
        <w:t>4</w:t>
      </w:r>
      <w:r w:rsidR="00311158" w:rsidRPr="006D5F85">
        <w:rPr>
          <w:b/>
          <w:bCs/>
          <w:sz w:val="24"/>
          <w:szCs w:val="24"/>
        </w:rPr>
        <w:t>/201</w:t>
      </w:r>
      <w:r w:rsidR="00231AEC" w:rsidRPr="006D5F85">
        <w:rPr>
          <w:b/>
          <w:bCs/>
          <w:sz w:val="24"/>
          <w:szCs w:val="24"/>
        </w:rPr>
        <w:t>8</w:t>
      </w:r>
      <w:r w:rsidRPr="006D5F85">
        <w:rPr>
          <w:b/>
          <w:bCs/>
          <w:sz w:val="24"/>
          <w:szCs w:val="24"/>
        </w:rPr>
        <w:t>. (II.20.</w:t>
      </w:r>
      <w:r w:rsidR="00311158" w:rsidRPr="006D5F85">
        <w:rPr>
          <w:b/>
          <w:bCs/>
          <w:sz w:val="24"/>
          <w:szCs w:val="24"/>
        </w:rPr>
        <w:t>) önkormányzati rendelete</w:t>
      </w:r>
    </w:p>
    <w:p w:rsidR="00311158" w:rsidRPr="006D5F85" w:rsidRDefault="00311158" w:rsidP="00183779">
      <w:pPr>
        <w:jc w:val="center"/>
        <w:rPr>
          <w:b/>
          <w:bCs/>
          <w:sz w:val="24"/>
          <w:szCs w:val="24"/>
        </w:rPr>
      </w:pPr>
      <w:r w:rsidRPr="006D5F85">
        <w:rPr>
          <w:b/>
          <w:bCs/>
          <w:sz w:val="24"/>
          <w:szCs w:val="24"/>
        </w:rPr>
        <w:t>Ibrány Város Önkormányzata 201</w:t>
      </w:r>
      <w:r w:rsidR="00231AEC" w:rsidRPr="006D5F85">
        <w:rPr>
          <w:b/>
          <w:bCs/>
          <w:sz w:val="24"/>
          <w:szCs w:val="24"/>
        </w:rPr>
        <w:t>8</w:t>
      </w:r>
      <w:r w:rsidRPr="006D5F85">
        <w:rPr>
          <w:b/>
          <w:bCs/>
          <w:sz w:val="24"/>
          <w:szCs w:val="24"/>
        </w:rPr>
        <w:t xml:space="preserve">. évi költségvetéséről és a költségvetés vitelének szabályairól </w:t>
      </w:r>
    </w:p>
    <w:p w:rsidR="00311158" w:rsidRPr="006D5F85" w:rsidRDefault="00311158" w:rsidP="00183779">
      <w:pPr>
        <w:rPr>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642812">
        <w:rPr>
          <w:rFonts w:ascii="Garamond" w:hAnsi="Garamond" w:cs="Garamond"/>
          <w:sz w:val="24"/>
          <w:szCs w:val="24"/>
        </w:rPr>
        <w:t>8</w:t>
      </w:r>
      <w:r w:rsidRPr="006167E9">
        <w:rPr>
          <w:rFonts w:ascii="Garamond" w:hAnsi="Garamond" w:cs="Garamond"/>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053126" w:rsidRPr="006167E9" w:rsidTr="006B5146">
        <w:trPr>
          <w:trHeight w:val="379"/>
          <w:jc w:val="center"/>
        </w:trPr>
        <w:tc>
          <w:tcPr>
            <w:tcW w:w="2624" w:type="dxa"/>
          </w:tcPr>
          <w:p w:rsidR="00053126" w:rsidRPr="006167E9" w:rsidRDefault="00053126" w:rsidP="00A865B8">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w:t>
            </w:r>
            <w:r w:rsidR="00E03FBB">
              <w:rPr>
                <w:rFonts w:ascii="Garamond" w:hAnsi="Garamond" w:cs="Garamond"/>
                <w:b/>
                <w:bCs/>
                <w:sz w:val="24"/>
                <w:szCs w:val="24"/>
              </w:rPr>
              <w:t>3</w:t>
            </w:r>
            <w:r w:rsidR="00A865B8">
              <w:rPr>
                <w:rFonts w:ascii="Garamond" w:hAnsi="Garamond" w:cs="Garamond"/>
                <w:b/>
                <w:bCs/>
                <w:sz w:val="24"/>
                <w:szCs w:val="24"/>
              </w:rPr>
              <w:t>2</w:t>
            </w:r>
            <w:r w:rsidR="00E03FBB">
              <w:rPr>
                <w:rFonts w:ascii="Garamond" w:hAnsi="Garamond" w:cs="Garamond"/>
                <w:b/>
                <w:bCs/>
                <w:sz w:val="24"/>
                <w:szCs w:val="24"/>
              </w:rPr>
              <w:t>0</w:t>
            </w:r>
            <w:r w:rsidRPr="006167E9">
              <w:rPr>
                <w:rFonts w:ascii="Garamond" w:hAnsi="Garamond" w:cs="Garamond"/>
                <w:b/>
                <w:bCs/>
                <w:sz w:val="24"/>
                <w:szCs w:val="24"/>
              </w:rPr>
              <w:t>.</w:t>
            </w:r>
            <w:r w:rsidR="00E03FBB">
              <w:rPr>
                <w:rFonts w:ascii="Garamond" w:hAnsi="Garamond" w:cs="Garamond"/>
                <w:b/>
                <w:bCs/>
                <w:sz w:val="24"/>
                <w:szCs w:val="24"/>
              </w:rPr>
              <w:t>2</w:t>
            </w:r>
            <w:r w:rsidR="00A865B8">
              <w:rPr>
                <w:rFonts w:ascii="Garamond" w:hAnsi="Garamond" w:cs="Garamond"/>
                <w:b/>
                <w:bCs/>
                <w:sz w:val="24"/>
                <w:szCs w:val="24"/>
              </w:rPr>
              <w:t>40</w:t>
            </w:r>
            <w:r w:rsidRPr="006167E9">
              <w:rPr>
                <w:rFonts w:ascii="Garamond" w:hAnsi="Garamond" w:cs="Garamond"/>
                <w:b/>
                <w:bCs/>
                <w:sz w:val="24"/>
                <w:szCs w:val="24"/>
              </w:rPr>
              <w:t xml:space="preserve"> E Ft</w:t>
            </w:r>
          </w:p>
        </w:tc>
        <w:tc>
          <w:tcPr>
            <w:tcW w:w="4086" w:type="dxa"/>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053126" w:rsidRPr="006167E9" w:rsidTr="006B5146">
        <w:trPr>
          <w:jc w:val="center"/>
        </w:trPr>
        <w:tc>
          <w:tcPr>
            <w:tcW w:w="2624" w:type="dxa"/>
            <w:tcBorders>
              <w:bottom w:val="single" w:sz="12" w:space="0" w:color="auto"/>
            </w:tcBorders>
          </w:tcPr>
          <w:p w:rsidR="00053126" w:rsidRPr="006167E9" w:rsidRDefault="006B5146" w:rsidP="00A865B8">
            <w:pPr>
              <w:tabs>
                <w:tab w:val="left" w:pos="399"/>
              </w:tabs>
              <w:ind w:left="397" w:hanging="397"/>
              <w:jc w:val="both"/>
              <w:rPr>
                <w:rFonts w:ascii="Garamond" w:hAnsi="Garamond" w:cs="Garamond"/>
                <w:b/>
                <w:bCs/>
                <w:sz w:val="24"/>
                <w:szCs w:val="24"/>
              </w:rPr>
            </w:pPr>
            <w:r>
              <w:rPr>
                <w:rFonts w:ascii="Garamond" w:hAnsi="Garamond" w:cs="Garamond"/>
                <w:b/>
                <w:bCs/>
                <w:sz w:val="24"/>
                <w:szCs w:val="24"/>
              </w:rPr>
              <w:t>2</w:t>
            </w:r>
            <w:r w:rsidR="00053126" w:rsidRPr="006167E9">
              <w:rPr>
                <w:rFonts w:ascii="Garamond" w:hAnsi="Garamond" w:cs="Garamond"/>
                <w:b/>
                <w:bCs/>
                <w:sz w:val="24"/>
                <w:szCs w:val="24"/>
              </w:rPr>
              <w:t>.</w:t>
            </w:r>
            <w:r w:rsidR="001806B1">
              <w:rPr>
                <w:rFonts w:ascii="Garamond" w:hAnsi="Garamond" w:cs="Garamond"/>
                <w:b/>
                <w:bCs/>
                <w:sz w:val="24"/>
                <w:szCs w:val="24"/>
              </w:rPr>
              <w:t>0</w:t>
            </w:r>
            <w:r w:rsidR="00A865B8">
              <w:rPr>
                <w:rFonts w:ascii="Garamond" w:hAnsi="Garamond" w:cs="Garamond"/>
                <w:b/>
                <w:bCs/>
                <w:sz w:val="24"/>
                <w:szCs w:val="24"/>
              </w:rPr>
              <w:t>65</w:t>
            </w:r>
            <w:r w:rsidR="00053126" w:rsidRPr="006167E9">
              <w:rPr>
                <w:rFonts w:ascii="Garamond" w:hAnsi="Garamond" w:cs="Garamond"/>
                <w:b/>
                <w:bCs/>
                <w:sz w:val="24"/>
                <w:szCs w:val="24"/>
              </w:rPr>
              <w:t>.</w:t>
            </w:r>
            <w:r w:rsidR="00A865B8">
              <w:rPr>
                <w:rFonts w:ascii="Garamond" w:hAnsi="Garamond" w:cs="Garamond"/>
                <w:b/>
                <w:bCs/>
                <w:sz w:val="24"/>
                <w:szCs w:val="24"/>
              </w:rPr>
              <w:t>680</w:t>
            </w:r>
            <w:r w:rsidR="00053126" w:rsidRPr="006167E9">
              <w:rPr>
                <w:rFonts w:ascii="Garamond" w:hAnsi="Garamond" w:cs="Garamond"/>
                <w:b/>
                <w:bCs/>
                <w:sz w:val="24"/>
                <w:szCs w:val="24"/>
              </w:rPr>
              <w:t xml:space="preserve"> E Ft</w:t>
            </w:r>
          </w:p>
        </w:tc>
        <w:tc>
          <w:tcPr>
            <w:tcW w:w="4086" w:type="dxa"/>
            <w:tcBorders>
              <w:bottom w:val="single" w:sz="12" w:space="0" w:color="auto"/>
            </w:tcBorders>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311158" w:rsidRPr="006167E9" w:rsidTr="006B5146">
        <w:trPr>
          <w:jc w:val="center"/>
        </w:trPr>
        <w:tc>
          <w:tcPr>
            <w:tcW w:w="2624"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w:t>
            </w:r>
            <w:r w:rsidR="001806B1">
              <w:rPr>
                <w:rFonts w:ascii="Garamond" w:hAnsi="Garamond" w:cs="Garamond"/>
                <w:b/>
                <w:bCs/>
                <w:sz w:val="24"/>
                <w:szCs w:val="24"/>
              </w:rPr>
              <w:t>7</w:t>
            </w:r>
            <w:r w:rsidR="00A865B8">
              <w:rPr>
                <w:rFonts w:ascii="Garamond" w:hAnsi="Garamond" w:cs="Garamond"/>
                <w:b/>
                <w:bCs/>
                <w:sz w:val="24"/>
                <w:szCs w:val="24"/>
              </w:rPr>
              <w:t>45</w:t>
            </w:r>
            <w:r w:rsidRPr="006167E9">
              <w:rPr>
                <w:rFonts w:ascii="Garamond" w:hAnsi="Garamond" w:cs="Garamond"/>
                <w:b/>
                <w:bCs/>
                <w:sz w:val="24"/>
                <w:szCs w:val="24"/>
              </w:rPr>
              <w:t>.</w:t>
            </w:r>
            <w:r w:rsidR="00A865B8">
              <w:rPr>
                <w:rFonts w:ascii="Garamond" w:hAnsi="Garamond" w:cs="Garamond"/>
                <w:b/>
                <w:bCs/>
                <w:sz w:val="24"/>
                <w:szCs w:val="24"/>
              </w:rPr>
              <w:t>44</w:t>
            </w:r>
            <w:r w:rsidR="001806B1">
              <w:rPr>
                <w:rFonts w:ascii="Garamond" w:hAnsi="Garamond" w:cs="Garamond"/>
                <w:b/>
                <w:bCs/>
                <w:sz w:val="24"/>
                <w:szCs w:val="24"/>
              </w:rPr>
              <w:t>0</w:t>
            </w:r>
            <w:r w:rsidRPr="006167E9">
              <w:rPr>
                <w:rFonts w:ascii="Garamond" w:hAnsi="Garamond" w:cs="Garamond"/>
                <w:b/>
                <w:bCs/>
                <w:sz w:val="24"/>
                <w:szCs w:val="24"/>
              </w:rPr>
              <w:t xml:space="preserve"> E Ft</w:t>
            </w:r>
          </w:p>
          <w:p w:rsidR="00311158" w:rsidRPr="006167E9" w:rsidRDefault="00311158"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6B5146">
              <w:rPr>
                <w:rFonts w:ascii="Garamond" w:hAnsi="Garamond" w:cs="Garamond"/>
                <w:b/>
                <w:bCs/>
                <w:sz w:val="24"/>
                <w:szCs w:val="24"/>
              </w:rPr>
              <w:t>2</w:t>
            </w:r>
            <w:r w:rsidR="00A865B8">
              <w:rPr>
                <w:rFonts w:ascii="Garamond" w:hAnsi="Garamond" w:cs="Garamond"/>
                <w:b/>
                <w:bCs/>
                <w:sz w:val="24"/>
                <w:szCs w:val="24"/>
              </w:rPr>
              <w:t>44</w:t>
            </w:r>
            <w:r w:rsidR="006B5146">
              <w:rPr>
                <w:rFonts w:ascii="Garamond" w:hAnsi="Garamond" w:cs="Garamond"/>
                <w:b/>
                <w:bCs/>
                <w:sz w:val="24"/>
                <w:szCs w:val="24"/>
              </w:rPr>
              <w:t>.</w:t>
            </w:r>
            <w:r w:rsidR="00A865B8">
              <w:rPr>
                <w:rFonts w:ascii="Garamond" w:hAnsi="Garamond" w:cs="Garamond"/>
                <w:b/>
                <w:bCs/>
                <w:sz w:val="24"/>
                <w:szCs w:val="24"/>
              </w:rPr>
              <w:t>1</w:t>
            </w:r>
            <w:r w:rsidR="00E03FBB">
              <w:rPr>
                <w:rFonts w:ascii="Garamond" w:hAnsi="Garamond" w:cs="Garamond"/>
                <w:b/>
                <w:bCs/>
                <w:sz w:val="24"/>
                <w:szCs w:val="24"/>
              </w:rPr>
              <w:t>6</w:t>
            </w:r>
            <w:r w:rsidR="00A865B8">
              <w:rPr>
                <w:rFonts w:ascii="Garamond" w:hAnsi="Garamond" w:cs="Garamond"/>
                <w:b/>
                <w:bCs/>
                <w:sz w:val="24"/>
                <w:szCs w:val="24"/>
              </w:rPr>
              <w:t>9</w:t>
            </w:r>
            <w:r w:rsidRPr="006167E9">
              <w:rPr>
                <w:rFonts w:ascii="Garamond" w:hAnsi="Garamond" w:cs="Garamond"/>
                <w:b/>
                <w:bCs/>
                <w:sz w:val="24"/>
                <w:szCs w:val="24"/>
              </w:rPr>
              <w:t xml:space="preserve"> E Ft</w:t>
            </w:r>
          </w:p>
          <w:p w:rsidR="00311158" w:rsidRPr="006167E9" w:rsidRDefault="00311158" w:rsidP="00A865B8">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A865B8">
              <w:rPr>
                <w:rFonts w:ascii="Garamond" w:hAnsi="Garamond" w:cs="Garamond"/>
                <w:b/>
                <w:bCs/>
                <w:sz w:val="24"/>
                <w:szCs w:val="24"/>
              </w:rPr>
              <w:t xml:space="preserve"> 501</w:t>
            </w:r>
            <w:r w:rsidR="006B5146">
              <w:rPr>
                <w:rFonts w:ascii="Garamond" w:hAnsi="Garamond" w:cs="Garamond"/>
                <w:b/>
                <w:bCs/>
                <w:sz w:val="24"/>
                <w:szCs w:val="24"/>
              </w:rPr>
              <w:t>.</w:t>
            </w:r>
            <w:r w:rsidR="00A865B8">
              <w:rPr>
                <w:rFonts w:ascii="Garamond" w:hAnsi="Garamond" w:cs="Garamond"/>
                <w:b/>
                <w:bCs/>
                <w:sz w:val="24"/>
                <w:szCs w:val="24"/>
              </w:rPr>
              <w:t>271</w:t>
            </w:r>
            <w:r w:rsidRPr="006167E9">
              <w:rPr>
                <w:rFonts w:ascii="Garamond" w:hAnsi="Garamond" w:cs="Garamond"/>
                <w:b/>
                <w:bCs/>
                <w:sz w:val="24"/>
                <w:szCs w:val="24"/>
              </w:rPr>
              <w:t xml:space="preserve"> E Ft</w:t>
            </w:r>
          </w:p>
        </w:tc>
        <w:tc>
          <w:tcPr>
            <w:tcW w:w="4086"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6167E9">
        <w:rPr>
          <w:rFonts w:ascii="Garamond" w:hAnsi="Garamond" w:cs="Garamond"/>
          <w:sz w:val="24"/>
          <w:szCs w:val="24"/>
        </w:rPr>
        <w:t>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költségvetési maradványának felhasználását rendeli el </w:t>
      </w:r>
      <w:r w:rsidR="006B5146">
        <w:rPr>
          <w:rFonts w:ascii="Garamond" w:hAnsi="Garamond" w:cs="Garamond"/>
          <w:sz w:val="24"/>
          <w:szCs w:val="24"/>
        </w:rPr>
        <w:t>2</w:t>
      </w:r>
      <w:r w:rsidR="001806B1">
        <w:rPr>
          <w:rFonts w:ascii="Garamond" w:hAnsi="Garamond" w:cs="Garamond"/>
          <w:sz w:val="24"/>
          <w:szCs w:val="24"/>
        </w:rPr>
        <w:t>6</w:t>
      </w:r>
      <w:r w:rsidR="00A865B8">
        <w:rPr>
          <w:rFonts w:ascii="Garamond" w:hAnsi="Garamond" w:cs="Garamond"/>
          <w:sz w:val="24"/>
          <w:szCs w:val="24"/>
        </w:rPr>
        <w:t>2</w:t>
      </w:r>
      <w:r w:rsidR="006B5146">
        <w:rPr>
          <w:rFonts w:ascii="Garamond" w:hAnsi="Garamond" w:cs="Garamond"/>
          <w:sz w:val="24"/>
          <w:szCs w:val="24"/>
        </w:rPr>
        <w:t>.</w:t>
      </w:r>
      <w:r w:rsidR="00A865B8">
        <w:rPr>
          <w:rFonts w:ascii="Garamond" w:hAnsi="Garamond" w:cs="Garamond"/>
          <w:sz w:val="24"/>
          <w:szCs w:val="24"/>
        </w:rPr>
        <w:t>776</w:t>
      </w:r>
      <w:r w:rsidR="006B5146">
        <w:rPr>
          <w:rFonts w:ascii="Garamond" w:hAnsi="Garamond" w:cs="Garamond"/>
          <w:sz w:val="24"/>
          <w:szCs w:val="24"/>
        </w:rPr>
        <w:t>.</w:t>
      </w:r>
      <w:r w:rsidR="00E03FBB">
        <w:rPr>
          <w:rFonts w:ascii="Garamond" w:hAnsi="Garamond" w:cs="Garamond"/>
          <w:sz w:val="24"/>
          <w:szCs w:val="24"/>
        </w:rPr>
        <w:t>7</w:t>
      </w:r>
      <w:r w:rsidR="00A865B8">
        <w:rPr>
          <w:rFonts w:ascii="Garamond" w:hAnsi="Garamond" w:cs="Garamond"/>
          <w:sz w:val="24"/>
          <w:szCs w:val="24"/>
        </w:rPr>
        <w:t>62</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finanszírozása érdekében </w:t>
      </w:r>
      <w:r w:rsidR="006B5146">
        <w:rPr>
          <w:rFonts w:ascii="Garamond" w:hAnsi="Garamond" w:cs="Garamond"/>
          <w:sz w:val="24"/>
          <w:szCs w:val="24"/>
        </w:rPr>
        <w:t>4</w:t>
      </w:r>
      <w:r w:rsidR="00A865B8">
        <w:rPr>
          <w:rFonts w:ascii="Garamond" w:hAnsi="Garamond" w:cs="Garamond"/>
          <w:sz w:val="24"/>
          <w:szCs w:val="24"/>
        </w:rPr>
        <w:t>90</w:t>
      </w:r>
      <w:r w:rsidR="006B5146">
        <w:rPr>
          <w:rFonts w:ascii="Garamond" w:hAnsi="Garamond" w:cs="Garamond"/>
          <w:sz w:val="24"/>
          <w:szCs w:val="24"/>
        </w:rPr>
        <w:t>.</w:t>
      </w:r>
      <w:r w:rsidR="00A865B8">
        <w:rPr>
          <w:rFonts w:ascii="Garamond" w:hAnsi="Garamond" w:cs="Garamond"/>
          <w:sz w:val="24"/>
          <w:szCs w:val="24"/>
        </w:rPr>
        <w:t>175</w:t>
      </w:r>
      <w:r w:rsidR="006B5146">
        <w:rPr>
          <w:rFonts w:ascii="Garamond" w:hAnsi="Garamond" w:cs="Garamond"/>
          <w:sz w:val="24"/>
          <w:szCs w:val="24"/>
        </w:rPr>
        <w:t>.</w:t>
      </w:r>
      <w:r w:rsidR="00A865B8">
        <w:rPr>
          <w:rFonts w:ascii="Garamond" w:hAnsi="Garamond" w:cs="Garamond"/>
          <w:sz w:val="24"/>
          <w:szCs w:val="24"/>
        </w:rPr>
        <w:t>408</w:t>
      </w:r>
      <w:bookmarkStart w:id="0" w:name="_GoBack"/>
      <w:bookmarkEnd w:id="0"/>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finanszírozása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6B5146">
        <w:rPr>
          <w:rFonts w:ascii="Garamond" w:hAnsi="Garamond" w:cs="Garamond"/>
          <w:sz w:val="24"/>
          <w:szCs w:val="24"/>
        </w:rPr>
        <w:t>8</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6B5146">
        <w:rPr>
          <w:rFonts w:ascii="Garamond" w:hAnsi="Garamond" w:cs="Garamond"/>
          <w:sz w:val="24"/>
          <w:szCs w:val="24"/>
        </w:rPr>
        <w:t>8</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A finanszírozási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6B5146">
        <w:rPr>
          <w:rFonts w:ascii="Garamond" w:hAnsi="Garamond" w:cs="Garamond"/>
          <w:sz w:val="24"/>
          <w:szCs w:val="24"/>
        </w:rPr>
        <w:t>8</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6B5146">
        <w:rPr>
          <w:rFonts w:ascii="Garamond" w:hAnsi="Garamond" w:cs="Garamond"/>
          <w:sz w:val="24"/>
          <w:szCs w:val="24"/>
        </w:rPr>
        <w:t>8</w:t>
      </w:r>
      <w:r w:rsidRPr="00B17E4C">
        <w:rPr>
          <w:rFonts w:ascii="Garamond" w:hAnsi="Garamond" w:cs="Garamond"/>
          <w:sz w:val="24"/>
          <w:szCs w:val="24"/>
        </w:rPr>
        <w:t>. évben 42.515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254CC1" w:rsidRDefault="00254CC1" w:rsidP="00254CC1">
      <w:pPr>
        <w:spacing w:before="240"/>
        <w:ind w:left="456" w:hanging="456"/>
        <w:jc w:val="both"/>
        <w:rPr>
          <w:rFonts w:ascii="Garamond" w:hAnsi="Garamond" w:cs="Garamond"/>
          <w:sz w:val="24"/>
          <w:szCs w:val="24"/>
        </w:rPr>
      </w:pPr>
      <w:r w:rsidRPr="00254CC1">
        <w:rPr>
          <w:rFonts w:ascii="Garamond" w:hAnsi="Garamond" w:cs="Garamond"/>
          <w:sz w:val="24"/>
          <w:szCs w:val="24"/>
        </w:rPr>
        <w:t xml:space="preserve">(18) </w:t>
      </w:r>
      <w:r w:rsidRPr="00254CC1">
        <w:rPr>
          <w:rFonts w:ascii="Garamond" w:hAnsi="Garamond" w:cs="Garamond"/>
          <w:sz w:val="24"/>
          <w:szCs w:val="24"/>
        </w:rPr>
        <w:tab/>
        <w:t xml:space="preserve">Az Önkormányzat a kiadásai között 70.523.591 Ft céltartalékot állapít meg, melyből 8.000.000 Ft a Református </w:t>
      </w:r>
      <w:r w:rsidR="002D0898">
        <w:rPr>
          <w:rFonts w:ascii="Garamond" w:hAnsi="Garamond" w:cs="Garamond"/>
          <w:sz w:val="24"/>
          <w:szCs w:val="24"/>
        </w:rPr>
        <w:t>á</w:t>
      </w:r>
      <w:r w:rsidRPr="00254CC1">
        <w:rPr>
          <w:rFonts w:ascii="Garamond" w:hAnsi="Garamond" w:cs="Garamond"/>
          <w:sz w:val="24"/>
          <w:szCs w:val="24"/>
        </w:rPr>
        <w:t xml:space="preserve">ltalános iskola </w:t>
      </w:r>
      <w:r w:rsidR="002D0898">
        <w:rPr>
          <w:rFonts w:ascii="Garamond" w:hAnsi="Garamond" w:cs="Garamond"/>
          <w:sz w:val="24"/>
          <w:szCs w:val="24"/>
        </w:rPr>
        <w:t>beindulásához</w:t>
      </w:r>
      <w:r w:rsidRPr="00254CC1">
        <w:rPr>
          <w:rFonts w:ascii="Garamond" w:hAnsi="Garamond" w:cs="Garamond"/>
          <w:sz w:val="24"/>
          <w:szCs w:val="24"/>
        </w:rPr>
        <w:t xml:space="preserve"> kapcsolódó infrastrukturális beruházási kiadásainak, míg 62.523.591 Ft az Európai Uniós pályázatok 2019-2020-2021. évben jelentkező kiadásainak fedezetére szolgál.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realizált többletbevétele terhére a kiadási és bevételi előirányzatát saját hatáskörben megemelheti az államháztartásról szóló 2011. évi CXCV. törvény végrehajtásáról szóló 368/2011. (XII. 31.) Korm. rendelet vonatkozó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83123C">
        <w:rPr>
          <w:rFonts w:ascii="Garamond" w:hAnsi="Garamond" w:cs="Garamond"/>
          <w:sz w:val="24"/>
          <w:szCs w:val="24"/>
        </w:rPr>
        <w:t>8</w:t>
      </w:r>
      <w:r w:rsidRPr="00B17E4C">
        <w:rPr>
          <w:rFonts w:ascii="Garamond" w:hAnsi="Garamond" w:cs="Garamond"/>
          <w:sz w:val="24"/>
          <w:szCs w:val="24"/>
        </w:rPr>
        <w:t xml:space="preserve">. évben tervezett feladatok végrehajtásához az önkormányzati gazdálkodás zavartalanságának biztosítására az OTP Bank Nyrt-vel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83123C">
        <w:rPr>
          <w:rFonts w:ascii="Garamond" w:hAnsi="Garamond" w:cs="Garamond"/>
          <w:sz w:val="24"/>
          <w:szCs w:val="24"/>
        </w:rPr>
        <w:t>8</w:t>
      </w:r>
      <w:r w:rsidRPr="00B17E4C">
        <w:rPr>
          <w:rFonts w:ascii="Garamond" w:hAnsi="Garamond" w:cs="Garamond"/>
          <w:sz w:val="24"/>
          <w:szCs w:val="24"/>
        </w:rPr>
        <w:t xml:space="preserve">. évi felhalmozási kiadások finanszírozására további </w:t>
      </w:r>
      <w:r w:rsidR="0083123C">
        <w:rPr>
          <w:rFonts w:ascii="Garamond" w:hAnsi="Garamond" w:cs="Garamond"/>
          <w:sz w:val="24"/>
          <w:szCs w:val="24"/>
        </w:rPr>
        <w:t>16.</w:t>
      </w:r>
      <w:r w:rsidRPr="00B17E4C">
        <w:rPr>
          <w:rFonts w:ascii="Garamond" w:hAnsi="Garamond" w:cs="Garamond"/>
          <w:sz w:val="24"/>
          <w:szCs w:val="24"/>
        </w:rPr>
        <w:t>4</w:t>
      </w:r>
      <w:r w:rsidR="0083123C">
        <w:rPr>
          <w:rFonts w:ascii="Garamond" w:hAnsi="Garamond" w:cs="Garamond"/>
          <w:sz w:val="24"/>
          <w:szCs w:val="24"/>
        </w:rPr>
        <w:t>00</w:t>
      </w:r>
      <w:r w:rsidRPr="00B17E4C">
        <w:rPr>
          <w:rFonts w:ascii="Garamond" w:hAnsi="Garamond" w:cs="Garamond"/>
          <w:sz w:val="24"/>
          <w:szCs w:val="24"/>
        </w:rPr>
        <w:t>.000 Ft felhalmozási célú hitelt vehet fel, továbbá kötelezettséget vállal arra, hogy a felvett hitelt/kölcsönt, törlesztő részleteit és azok kamatait az éves költségvetésekbe betervezi és megfizeti.</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201</w:t>
      </w:r>
      <w:r w:rsidR="0083123C">
        <w:rPr>
          <w:rFonts w:ascii="Garamond" w:hAnsi="Garamond" w:cs="Garamond"/>
          <w:sz w:val="24"/>
          <w:szCs w:val="24"/>
        </w:rPr>
        <w:t>8</w:t>
      </w:r>
      <w:r>
        <w:rPr>
          <w:rFonts w:ascii="Garamond" w:hAnsi="Garamond" w:cs="Garamond"/>
          <w:sz w:val="24"/>
          <w:szCs w:val="24"/>
        </w:rPr>
        <w:t xml:space="preserve">. február </w:t>
      </w:r>
      <w:r w:rsidR="00C3488D">
        <w:rPr>
          <w:rFonts w:ascii="Garamond" w:hAnsi="Garamond" w:cs="Garamond"/>
          <w:sz w:val="24"/>
          <w:szCs w:val="24"/>
        </w:rPr>
        <w:t>15.</w:t>
      </w:r>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Pr>
                <w:rFonts w:ascii="Garamond" w:hAnsi="Garamond" w:cs="Garamond"/>
                <w:sz w:val="24"/>
                <w:szCs w:val="24"/>
              </w:rPr>
              <w:t xml:space="preserve">Berencsi Béla </w:t>
            </w:r>
            <w:proofErr w:type="spellStart"/>
            <w:r>
              <w:rPr>
                <w:rFonts w:ascii="Garamond" w:hAnsi="Garamond" w:cs="Garamond"/>
                <w:sz w:val="24"/>
                <w:szCs w:val="24"/>
              </w:rPr>
              <w:t>sk</w:t>
            </w:r>
            <w:proofErr w:type="spellEnd"/>
            <w:r>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proofErr w:type="spellStart"/>
            <w:r>
              <w:rPr>
                <w:rFonts w:ascii="Garamond" w:hAnsi="Garamond" w:cs="Garamond"/>
                <w:sz w:val="24"/>
                <w:szCs w:val="24"/>
              </w:rPr>
              <w:t>Bakosiné</w:t>
            </w:r>
            <w:proofErr w:type="spellEnd"/>
            <w:r>
              <w:rPr>
                <w:rFonts w:ascii="Garamond" w:hAnsi="Garamond" w:cs="Garamond"/>
                <w:sz w:val="24"/>
                <w:szCs w:val="24"/>
              </w:rPr>
              <w:t xml:space="preserve">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2"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3"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1"/>
  </w:num>
  <w:num w:numId="4">
    <w:abstractNumId w:val="12"/>
  </w:num>
  <w:num w:numId="5">
    <w:abstractNumId w:val="6"/>
  </w:num>
  <w:num w:numId="6">
    <w:abstractNumId w:val="9"/>
  </w:num>
  <w:num w:numId="7">
    <w:abstractNumId w:val="10"/>
  </w:num>
  <w:num w:numId="8">
    <w:abstractNumId w:val="4"/>
  </w:num>
  <w:num w:numId="9">
    <w:abstractNumId w:val="13"/>
  </w:num>
  <w:num w:numId="10">
    <w:abstractNumId w:val="8"/>
  </w:num>
  <w:num w:numId="11">
    <w:abstractNumId w:val="1"/>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C4191"/>
    <w:rsid w:val="002D0898"/>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2812"/>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5F85"/>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865B8"/>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276B"/>
    <w:rsid w:val="00C073C6"/>
    <w:rsid w:val="00C0745F"/>
    <w:rsid w:val="00C11812"/>
    <w:rsid w:val="00C263FF"/>
    <w:rsid w:val="00C3488D"/>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3FBB"/>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75FFD"/>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E7D54"/>
  <w15:docId w15:val="{9EF91E41-1354-4E39-B468-05F78AED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1888</Words>
  <Characters>14494</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Kulcsár Margit</cp:lastModifiedBy>
  <cp:revision>4</cp:revision>
  <cp:lastPrinted>2018-04-19T12:21:00Z</cp:lastPrinted>
  <dcterms:created xsi:type="dcterms:W3CDTF">2018-04-19T12:10:00Z</dcterms:created>
  <dcterms:modified xsi:type="dcterms:W3CDTF">2018-08-16T07:36:00Z</dcterms:modified>
</cp:coreProperties>
</file>